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E5A26" w:rsidRDefault="00CE5A26" w:rsidP="00CE5A2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30 августа 2021г.</w:t>
      </w:r>
    </w:p>
    <w:p w:rsidR="00CE5A26" w:rsidRDefault="00CE5A26" w:rsidP="00CE5A2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CE5A26" w:rsidRDefault="00CE5A26" w:rsidP="00CE5A2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CE5A26" w:rsidRPr="008B1C36" w:rsidRDefault="00CE5A26" w:rsidP="00CE5A26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CA5">
        <w:rPr>
          <w:rFonts w:ascii="Times New Roman" w:hAnsi="Times New Roman"/>
          <w:sz w:val="24"/>
          <w:szCs w:val="24"/>
        </w:rPr>
        <w:t>решениями Сарапульской городской Думы от 27.05.2021г. № 6-131 «Об отчуждении нежилого помещения, назначение: нежилое помещение</w:t>
      </w:r>
      <w:proofErr w:type="gramEnd"/>
      <w:r w:rsidRPr="00936CA5">
        <w:rPr>
          <w:rFonts w:ascii="Times New Roman" w:hAnsi="Times New Roman"/>
          <w:sz w:val="24"/>
          <w:szCs w:val="24"/>
        </w:rPr>
        <w:t xml:space="preserve">, общей площадью 246 кв.м.,  этаж - полуподвал, </w:t>
      </w:r>
      <w:proofErr w:type="gramStart"/>
      <w:r w:rsidRPr="00936CA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36CA5">
        <w:rPr>
          <w:rFonts w:ascii="Times New Roman" w:hAnsi="Times New Roman"/>
          <w:sz w:val="24"/>
          <w:szCs w:val="24"/>
        </w:rPr>
        <w:t xml:space="preserve"> по адресу: Удмуртская Республика, г. Сарапул, ул. Фурманова, д.7/3, кадастровый номер 18:30:000522:595», от 27.05.2021 г. № 4-129 «Об отчуждении нежилого помещения, назначение: нежилое помещение, общей площадью 41 кв.м.,  этаж № 1, расположенного по адресу: Удмуртская Республика, г. Сарапул, ул. Азина, д.64, кадастровый номер 18:30:000010:233»,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CE5A26" w:rsidRDefault="00CE5A26" w:rsidP="00CE5A26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№1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8B9">
        <w:rPr>
          <w:rFonts w:ascii="Times New Roman" w:hAnsi="Times New Roman"/>
          <w:sz w:val="24"/>
          <w:szCs w:val="24"/>
        </w:rPr>
        <w:t xml:space="preserve">- </w:t>
      </w:r>
      <w:r w:rsidRPr="00A32D92">
        <w:rPr>
          <w:rFonts w:ascii="Times New Roman" w:hAnsi="Times New Roman"/>
          <w:sz w:val="24"/>
          <w:szCs w:val="24"/>
        </w:rPr>
        <w:t>нежилое помещение, назначение: нежилое помещение, общей площадью 246 кв.м., этаж - полуподвал, расположенное по адресу: Удмуртская Республика, г. Сарапул, ул. Фурманова, д.7/3, кадастровый номер 18:30:000522:595.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 -  </w:t>
      </w:r>
      <w:r>
        <w:rPr>
          <w:rFonts w:ascii="Times New Roman" w:hAnsi="Times New Roman"/>
          <w:sz w:val="24"/>
          <w:szCs w:val="24"/>
        </w:rPr>
        <w:t xml:space="preserve">3 099 600 (Три миллиона девяносто девять тысяч шестьсот)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516 600 (Пятьсот шестнадцать тысяч шестьсот) рублей 00 копеек.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1 549 800 (Один миллион пятьсот сорок девять тысяч восемьсот)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258 300 (Двести пятьдесят восемь тысяч триста) рублей 00 копеек. </w:t>
      </w:r>
    </w:p>
    <w:p w:rsidR="00CE5A26" w:rsidRPr="009A66C8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309 960 (Триста девять тысяч девятьсот шестьдесят) рублей 00 копеек.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154 980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Сто пятьдесят четыре тысячи девятьсот восемьдесят)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619 920 (Шестьсот девятнадцать тысяч девятьсот двадцать) рублей 00 копеек без НДС.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аукционные </w:t>
      </w:r>
      <w:proofErr w:type="gramStart"/>
      <w:r>
        <w:rPr>
          <w:rFonts w:ascii="Times New Roman" w:hAnsi="Times New Roman"/>
          <w:sz w:val="24"/>
          <w:szCs w:val="24"/>
        </w:rPr>
        <w:t>торги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назначенные на 16.07.2021г., признаны не состоявшимися в связи с отсутствием поданных заявок. 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b/>
          <w:sz w:val="24"/>
          <w:szCs w:val="24"/>
        </w:rPr>
      </w:pPr>
      <w:r w:rsidRPr="00C658B9">
        <w:rPr>
          <w:rFonts w:ascii="Times New Roman" w:hAnsi="Times New Roman"/>
          <w:b/>
          <w:sz w:val="24"/>
          <w:szCs w:val="24"/>
        </w:rPr>
        <w:t>Лот № 2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CE5A26" w:rsidRPr="00400D20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8B9">
        <w:rPr>
          <w:rFonts w:ascii="Times New Roman" w:hAnsi="Times New Roman"/>
          <w:sz w:val="24"/>
          <w:szCs w:val="24"/>
        </w:rPr>
        <w:t xml:space="preserve">- </w:t>
      </w:r>
      <w:r w:rsidRPr="00400D20">
        <w:rPr>
          <w:rFonts w:ascii="Times New Roman" w:hAnsi="Times New Roman"/>
          <w:sz w:val="24"/>
          <w:szCs w:val="24"/>
        </w:rPr>
        <w:t xml:space="preserve"> нежилое помещение, назначение: нежилое помещение, общей площадью 41 кв.м., этаж № 1, расположенное по адресу: Удмуртская Республика, г. Сарапул, ул. Азина, д.64, кадастровый номер 18:30:000010:233</w:t>
      </w:r>
      <w:r>
        <w:rPr>
          <w:rFonts w:ascii="Times New Roman" w:hAnsi="Times New Roman"/>
          <w:sz w:val="24"/>
          <w:szCs w:val="24"/>
        </w:rPr>
        <w:t>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– </w:t>
      </w:r>
      <w:r>
        <w:rPr>
          <w:rFonts w:ascii="Times New Roman" w:hAnsi="Times New Roman"/>
          <w:sz w:val="24"/>
          <w:szCs w:val="24"/>
        </w:rPr>
        <w:t xml:space="preserve">590 400 (Пятьсот девяносто тысяч четыреста)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98 400 (Девяносто восемь тысяч четыреста) рублей 00 копеек.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295 200 (Двести девяносто пять тысяч двести)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49 200 (Сорок девять тысяч двести) рублей 00 копеек. </w:t>
      </w:r>
    </w:p>
    <w:p w:rsidR="00CE5A26" w:rsidRPr="009A66C8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59 040 (Пятьдесят девять тысяч сорок) рублей 00 копеек.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29 520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Двадцать девять тысяч пятьсот двадцать)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118 080 (Сто восемнадцать тысяч восемьдесят) рублей 00 копеек без НДС.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аукционные торги, назначенные на 16.07.2021г. признаны не состоявшимися в связи с отсутствием поданных заявок.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21.07.2021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–23.08.</w:t>
      </w:r>
      <w:r>
        <w:rPr>
          <w:rFonts w:ascii="Times New Roman" w:hAnsi="Times New Roman"/>
          <w:bCs/>
          <w:sz w:val="24"/>
          <w:szCs w:val="24"/>
        </w:rPr>
        <w:t>2021г. до 16:30 (по московскому времени)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27.08.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30.08.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CE5A26" w:rsidRPr="002E4236" w:rsidRDefault="00CE5A26" w:rsidP="00CE5A26">
      <w:pPr>
        <w:tabs>
          <w:tab w:val="center" w:pos="0"/>
        </w:tabs>
        <w:spacing w:after="120" w:line="240" w:lineRule="auto"/>
        <w:ind w:left="-142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CE5A26" w:rsidRPr="002E4236" w:rsidRDefault="00CE5A26" w:rsidP="00CE5A26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5A26" w:rsidRPr="00A15C60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CE5A26" w:rsidRDefault="00CE5A26" w:rsidP="00CE5A2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CE5A26" w:rsidRDefault="00CE5A26" w:rsidP="00CE5A2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Любое лицо независимо от регистрации на электронной площадке со дня начала </w:t>
      </w:r>
      <w:r>
        <w:rPr>
          <w:rFonts w:ascii="Times New Roman" w:hAnsi="Times New Roman"/>
          <w:sz w:val="24"/>
          <w:szCs w:val="24"/>
        </w:rPr>
        <w:lastRenderedPageBreak/>
        <w:t>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CE5A26" w:rsidRDefault="00CE5A26" w:rsidP="00CE5A2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CE5A26" w:rsidRDefault="00CE5A26" w:rsidP="00CE5A2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CE5A26" w:rsidRDefault="00CE5A26" w:rsidP="00CE5A2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CE5A26" w:rsidRDefault="00CE5A26" w:rsidP="00CE5A26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CE5A26" w:rsidRDefault="00CE5A26" w:rsidP="00CE5A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E5A26" w:rsidRDefault="00CE5A26" w:rsidP="00CE5A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CE5A26" w:rsidRDefault="00CE5A26" w:rsidP="00CE5A26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5A26" w:rsidRDefault="00CE5A26" w:rsidP="00CE5A2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CE5A26" w:rsidRDefault="00CE5A26" w:rsidP="00CE5A2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CE5A26" w:rsidRDefault="00CE5A26" w:rsidP="00CE5A2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CE5A26" w:rsidRDefault="00CE5A26" w:rsidP="00CE5A2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</w:t>
      </w:r>
      <w:r>
        <w:rPr>
          <w:rFonts w:ascii="Times New Roman" w:hAnsi="Times New Roman"/>
          <w:sz w:val="24"/>
          <w:szCs w:val="24"/>
        </w:rPr>
        <w:lastRenderedPageBreak/>
        <w:t>дальнейшем «Покупатель», с другой стороны, заключили настоящий договор о нижеследующем (далее – Договор).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E5A26" w:rsidRDefault="00CE5A26" w:rsidP="00CE5A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_____202__г. №__, по результатам продажи посредством публичного предложения в электронной форме – протокол № __ от __________2021 года.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E5A26" w:rsidRDefault="00CE5A26" w:rsidP="00CE5A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CE5A26" w:rsidRDefault="00CE5A26" w:rsidP="00CE5A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CE5A26" w:rsidRDefault="00CE5A26" w:rsidP="00CE5A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CE5A26" w:rsidRDefault="00CE5A26" w:rsidP="00CE5A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>ИНН 1827008640; КПП 183801001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E5A26" w:rsidRPr="008E3F73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8.3. Все изменения и дополнения к Договору совершаются по соглашению Сторон в письменной форме.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E5A26" w:rsidRDefault="00CE5A26" w:rsidP="00CE5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E5A26" w:rsidRDefault="00CE5A26" w:rsidP="00CE5A2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CE5A26" w:rsidTr="00FF7AF2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CE5A26" w:rsidRDefault="00CE5A26" w:rsidP="00CE5A26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F3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продажи посредством </w:t>
      </w:r>
    </w:p>
    <w:p w:rsidR="00CE5A26" w:rsidRDefault="00CE5A26" w:rsidP="00CE5A2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CE5A26" w:rsidRDefault="00CE5A26" w:rsidP="00CE5A2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недвижимого имущества</w:t>
      </w:r>
    </w:p>
    <w:p w:rsidR="00CE5A26" w:rsidRDefault="00CE5A26" w:rsidP="00CE5A2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E5A26" w:rsidRDefault="00CE5A26" w:rsidP="00CE5A2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E5A26" w:rsidRDefault="00CE5A26" w:rsidP="00CE5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CE5A26" w:rsidRDefault="00CE5A26" w:rsidP="00CE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5A26" w:rsidRDefault="00CE5A26" w:rsidP="00CE5A26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CE5A26" w:rsidRDefault="00CE5A26" w:rsidP="00CE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CE5A26" w:rsidRDefault="00CE5A26" w:rsidP="00CE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E5A26" w:rsidTr="00FF7AF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5A26" w:rsidTr="00FF7AF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CE5A26" w:rsidRDefault="00CE5A26" w:rsidP="00FF7A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E5A26" w:rsidRDefault="00CE5A26" w:rsidP="00FF7A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E5A26" w:rsidRDefault="00CE5A26" w:rsidP="00CE5A26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77F49" w:rsidRDefault="00A77F49">
      <w:bookmarkStart w:id="0" w:name="_GoBack"/>
      <w:bookmarkEnd w:id="0"/>
    </w:p>
    <w:sectPr w:rsidR="00A7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6"/>
    <w:rsid w:val="00A77F49"/>
    <w:rsid w:val="00C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2021-07-20T07:48:00Z</dcterms:created>
  <dcterms:modified xsi:type="dcterms:W3CDTF">2021-07-20T07:50:00Z</dcterms:modified>
</cp:coreProperties>
</file>