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99" w:rsidRDefault="006252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25299" w:rsidRDefault="00625299">
      <w:pPr>
        <w:pStyle w:val="ConsPlusNormal"/>
        <w:ind w:firstLine="540"/>
        <w:jc w:val="both"/>
        <w:outlineLvl w:val="0"/>
      </w:pPr>
    </w:p>
    <w:p w:rsidR="00625299" w:rsidRDefault="00625299">
      <w:pPr>
        <w:pStyle w:val="ConsPlusTitle"/>
        <w:jc w:val="center"/>
        <w:outlineLvl w:val="0"/>
      </w:pPr>
      <w:r>
        <w:t>САРАПУЛЬСКАЯ ГОРОДСКАЯ ДУМА</w:t>
      </w:r>
    </w:p>
    <w:p w:rsidR="00625299" w:rsidRDefault="00625299">
      <w:pPr>
        <w:pStyle w:val="ConsPlusTitle"/>
        <w:jc w:val="center"/>
      </w:pPr>
    </w:p>
    <w:p w:rsidR="00625299" w:rsidRDefault="00625299">
      <w:pPr>
        <w:pStyle w:val="ConsPlusTitle"/>
        <w:jc w:val="center"/>
      </w:pPr>
      <w:r>
        <w:t>РЕШЕНИЕ</w:t>
      </w:r>
    </w:p>
    <w:p w:rsidR="00625299" w:rsidRDefault="00625299">
      <w:pPr>
        <w:pStyle w:val="ConsPlusTitle"/>
        <w:jc w:val="center"/>
      </w:pPr>
      <w:r>
        <w:t>от 28 июня 2018 г. N 2-449</w:t>
      </w:r>
    </w:p>
    <w:p w:rsidR="00625299" w:rsidRDefault="00625299">
      <w:pPr>
        <w:pStyle w:val="ConsPlusTitle"/>
        <w:jc w:val="center"/>
      </w:pPr>
    </w:p>
    <w:p w:rsidR="00625299" w:rsidRDefault="00625299">
      <w:pPr>
        <w:pStyle w:val="ConsPlusTitle"/>
        <w:jc w:val="center"/>
      </w:pPr>
      <w:r>
        <w:t>О ЗЕМЕЛЬНОМ НАЛОГЕ НА ТЕРРИТОРИИ МУНИЦИПАЛЬНОГО ОБРАЗОВАНИЯ</w:t>
      </w:r>
    </w:p>
    <w:p w:rsidR="00625299" w:rsidRDefault="00625299">
      <w:pPr>
        <w:pStyle w:val="ConsPlusTitle"/>
        <w:jc w:val="center"/>
      </w:pPr>
      <w:r>
        <w:t>"ГОРОД САРАПУЛ"</w:t>
      </w:r>
    </w:p>
    <w:p w:rsidR="00625299" w:rsidRDefault="006252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52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299" w:rsidRDefault="006252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299" w:rsidRDefault="006252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5299" w:rsidRDefault="006252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299" w:rsidRDefault="006252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Сарапульской городской Думы от 25.10.2018 </w:t>
            </w:r>
            <w:hyperlink r:id="rId6">
              <w:r>
                <w:rPr>
                  <w:color w:val="0000FF"/>
                </w:rPr>
                <w:t>N 1-498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5299" w:rsidRDefault="00625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7">
              <w:r>
                <w:rPr>
                  <w:color w:val="0000FF"/>
                </w:rPr>
                <w:t>N 2-652</w:t>
              </w:r>
            </w:hyperlink>
            <w:r>
              <w:rPr>
                <w:color w:val="392C69"/>
              </w:rPr>
              <w:t xml:space="preserve">, от 28.11.2019 </w:t>
            </w:r>
            <w:hyperlink r:id="rId8">
              <w:r>
                <w:rPr>
                  <w:color w:val="0000FF"/>
                </w:rPr>
                <w:t>N 6-687</w:t>
              </w:r>
            </w:hyperlink>
            <w:r>
              <w:rPr>
                <w:color w:val="392C69"/>
              </w:rPr>
              <w:t xml:space="preserve">, от 26.10.2023 </w:t>
            </w:r>
            <w:hyperlink r:id="rId9">
              <w:r>
                <w:rPr>
                  <w:color w:val="0000FF"/>
                </w:rPr>
                <w:t>N 1-419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299" w:rsidRDefault="00625299">
            <w:pPr>
              <w:pStyle w:val="ConsPlusNormal"/>
            </w:pPr>
          </w:p>
        </w:tc>
      </w:tr>
    </w:tbl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главой 31</w:t>
        </w:r>
      </w:hyperlink>
      <w:r>
        <w:t xml:space="preserve"> части 2 Налогового кодекса Российской Федерации и </w:t>
      </w:r>
      <w:hyperlink r:id="rId11">
        <w:r>
          <w:rPr>
            <w:color w:val="0000FF"/>
          </w:rPr>
          <w:t>Уставом</w:t>
        </w:r>
      </w:hyperlink>
      <w:r>
        <w:t xml:space="preserve"> муниципального образования "Город Сарапул"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Сарапульская городская Дума решила: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 xml:space="preserve">Настоящим решением в соответствии с Налоговым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муниципального образования "Город Сарапул" определяются налоговые ставки земельного налога (далее - налог), порядок и сроки уплаты налога, устанавливаются налоговые льготы, основания и порядок их применения.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Title"/>
        <w:ind w:firstLine="540"/>
        <w:jc w:val="both"/>
        <w:outlineLvl w:val="1"/>
      </w:pPr>
      <w:r>
        <w:t>Статья 2. Налоговые ставки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>Налоговые ставки устанавливаются в следующих размерах: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25299" w:rsidRDefault="00625299">
      <w:pPr>
        <w:pStyle w:val="ConsPlusNormal"/>
        <w:spacing w:before="220"/>
        <w:ind w:firstLine="540"/>
        <w:jc w:val="both"/>
      </w:pPr>
      <w:proofErr w:type="gramStart"/>
      <w: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25299" w:rsidRDefault="0062529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Сарапульской городской Думы от 28.11.2019 N 6-687)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625299" w:rsidRDefault="0062529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Сарапульской городской Думы от 26.09.2019 N 2-652)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- ограниченных в обороте в соответствии с законодательством Российской Федерации, </w:t>
      </w:r>
      <w:r>
        <w:lastRenderedPageBreak/>
        <w:t>предоставленных для обеспечения обороны, безопасности и таможенных нужд;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абзац исключен с 01.01.2020. - </w:t>
      </w:r>
      <w:hyperlink r:id="rId16">
        <w:r>
          <w:rPr>
            <w:color w:val="0000FF"/>
          </w:rPr>
          <w:t>Решение</w:t>
        </w:r>
      </w:hyperlink>
      <w:r>
        <w:t xml:space="preserve"> Сарапульской городской Думы от 26.09.2019 N 2-652;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2) 0,5 процента в отношении земельных участков, предназначенных для размещения гаражей;</w:t>
      </w:r>
    </w:p>
    <w:p w:rsidR="00625299" w:rsidRDefault="0062529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Сарапульской городской Думы от 26.10.2023 N 1-419)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3) исключен с 01.01.2024. - </w:t>
      </w:r>
      <w:hyperlink r:id="rId18">
        <w:r>
          <w:rPr>
            <w:color w:val="0000FF"/>
          </w:rPr>
          <w:t>Решение</w:t>
        </w:r>
      </w:hyperlink>
      <w:r>
        <w:t xml:space="preserve"> Сарапульской городской Думы от 26.10.2023 N 1-419;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4) 1,5 процента в отношении прочих земельных участков.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Title"/>
        <w:ind w:firstLine="540"/>
        <w:jc w:val="both"/>
        <w:outlineLvl w:val="1"/>
      </w:pPr>
      <w:r>
        <w:t>Статья 3. Порядок и сроки уплаты налога и авансовых платежей по налогу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Сарапульской городской Думы от 28.11.2019 N 6-687)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 xml:space="preserve">В течение налогового периода налогоплательщики-организации уплачивают авансовые платежи по налогу. Порядок уплаты налога и авансовых платежей по налогу осуществляется в соответствии со </w:t>
      </w:r>
      <w:hyperlink r:id="rId20">
        <w:r>
          <w:rPr>
            <w:color w:val="0000FF"/>
          </w:rPr>
          <w:t>статьями 393</w:t>
        </w:r>
      </w:hyperlink>
      <w:r>
        <w:t xml:space="preserve"> и </w:t>
      </w:r>
      <w:hyperlink r:id="rId21">
        <w:r>
          <w:rPr>
            <w:color w:val="0000FF"/>
          </w:rPr>
          <w:t>397</w:t>
        </w:r>
      </w:hyperlink>
      <w:r>
        <w:t xml:space="preserve"> Налогового кодекса Российской Федерации.</w:t>
      </w:r>
    </w:p>
    <w:p w:rsidR="00625299" w:rsidRDefault="00625299">
      <w:pPr>
        <w:pStyle w:val="ConsPlusTitle"/>
        <w:spacing w:before="220"/>
        <w:ind w:firstLine="540"/>
        <w:jc w:val="both"/>
        <w:outlineLvl w:val="1"/>
      </w:pPr>
      <w:r>
        <w:t>Статья 4. Налоговые льготы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>4.1. Освобождаются от налогообложения: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4.1.1. Герои Советского Союза, Герои Российской Федерации, Герои Социалистического Труда, полные кавалеры орденов Славы, Трудовой Славы и "За службу Родине в Вооруженных Силах СССР";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4.1.2. Ветераны и инвалиды Великой Отечественной войны, труженики тыла в годы ВОВ, а также ветераны и инвалиды боевых действий;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4.1.3. Инвалиды I и II групп;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4.1.4. </w:t>
      </w:r>
      <w:proofErr w:type="gramStart"/>
      <w:r>
        <w:t xml:space="preserve">Физические лица, имеющие право на получение социальной поддержки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>
        <w:t xml:space="preserve">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4.1.5.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4.1.6.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4.1.7. Физические лица, включенные в сводный реестр добровольных пожарных;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4.1.8. Организации-резиденты в отношении земельных участков, используемых для </w:t>
      </w:r>
      <w:r>
        <w:lastRenderedPageBreak/>
        <w:t>реализации инвестиционного проекта в рамках соглашения об осуществлении деятельности на территории опережающего социально-экономического развития "Сарапул" (далее - Соглашение), на срок действия Соглашения.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 Налоговая льгота по уплате земельного налога в размере 50% от исчисленной суммы налога предоставляется налогоплательщику - физическому лицу на территории города Сарапула в отношении земельных участков, находящихся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4.2.1. Инвалидов III группы;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4.2.2. Инвалидов с детства, детей-инвалидов;</w:t>
      </w:r>
    </w:p>
    <w:p w:rsidR="00625299" w:rsidRDefault="0062529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Сарапульской городской Думы от 25.10.2018 N 1-498)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4.2.3. Пенсионеров;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4.2.4. Почетных граждан города Сарапула;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4.2.5. Многодетных семей (имеющих на иждивении трех и более детей);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4.2.6. Лиц, пострадавших от политических репрессий;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4.2.7. Матерей-одиночек;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4.2.8. Семей, имеющих на иждивении детей-инвалидов;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4.2.9. Супругов, если один из них является участником Великой Отечественной войны, инвалидом I или II группы;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4.2.10. Граждан, избранных председателями органов территориального общественного самоуправления;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>4.2.11. Физических лиц по достижении возраста, предусмотренного пенсионным законодательством Российской Федерации, действовавшим по состоянию на 31 декабря 2018 года.</w:t>
      </w:r>
    </w:p>
    <w:p w:rsidR="00625299" w:rsidRDefault="00625299">
      <w:pPr>
        <w:pStyle w:val="ConsPlusNormal"/>
        <w:jc w:val="both"/>
      </w:pPr>
      <w:r>
        <w:t xml:space="preserve">(пп. 4.2.11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решением</w:t>
        </w:r>
      </w:hyperlink>
      <w:r>
        <w:t xml:space="preserve"> Сарапульской городской Думы от 25.10.2018 N 1-498)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Title"/>
        <w:ind w:firstLine="540"/>
        <w:jc w:val="both"/>
        <w:outlineLvl w:val="1"/>
      </w:pPr>
      <w:r>
        <w:t>Статья 5. Подтверждение налогоплательщиками права на льготу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 xml:space="preserve">Подтверждение налогоплательщиками, имеющими право на налоговые льготы по земельному налогу, осуществляется в порядке, установленном </w:t>
      </w:r>
      <w:hyperlink r:id="rId27">
        <w:r>
          <w:rPr>
            <w:color w:val="0000FF"/>
          </w:rPr>
          <w:t>пунктом 10 статьи 396</w:t>
        </w:r>
      </w:hyperlink>
      <w:r>
        <w:t xml:space="preserve"> Налогового кодекса Российской Федерации.</w:t>
      </w:r>
    </w:p>
    <w:p w:rsidR="00625299" w:rsidRDefault="0062529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Сарапульской городской Думы от 26.09.2019 N 2-652)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Абзац утратил силу с 01.01.2020. - </w:t>
      </w:r>
      <w:hyperlink r:id="rId29">
        <w:r>
          <w:rPr>
            <w:color w:val="0000FF"/>
          </w:rPr>
          <w:t>Решение</w:t>
        </w:r>
      </w:hyperlink>
      <w:r>
        <w:t xml:space="preserve"> Сарапульской городской Думы от 28.11.2019 N 6-687.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Title"/>
        <w:ind w:firstLine="540"/>
        <w:jc w:val="both"/>
        <w:outlineLvl w:val="1"/>
      </w:pPr>
      <w:r>
        <w:t>Статья 6. Заключительные положения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  <w:r>
        <w:t xml:space="preserve">Настоящее решение вступает в силу со дня его официального опубликования и применяется к правоотношениям, возникшим с 01.01.2018. Со дня вступления в силу настоящего решения признать утратившим силу </w:t>
      </w:r>
      <w:hyperlink r:id="rId30">
        <w:r>
          <w:rPr>
            <w:color w:val="0000FF"/>
          </w:rPr>
          <w:t>решение</w:t>
        </w:r>
      </w:hyperlink>
      <w:r>
        <w:t xml:space="preserve"> Сарапульской городской Думы от 25.05.2017 N 2-273 (в редакции </w:t>
      </w:r>
      <w:hyperlink r:id="rId31">
        <w:r>
          <w:rPr>
            <w:color w:val="0000FF"/>
          </w:rPr>
          <w:t>решения</w:t>
        </w:r>
      </w:hyperlink>
      <w:r>
        <w:t xml:space="preserve"> от 26.10.2017 N 2-330) "О земельном налоге на территории муниципального образования "Город Сарапул".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lastRenderedPageBreak/>
        <w:t>Опубликовать настоящее решение в газете "Красное Прикамье".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jc w:val="right"/>
      </w:pPr>
      <w:r>
        <w:t>Глава города Сарапула</w:t>
      </w:r>
    </w:p>
    <w:p w:rsidR="00625299" w:rsidRDefault="00625299">
      <w:pPr>
        <w:pStyle w:val="ConsPlusNormal"/>
        <w:jc w:val="right"/>
      </w:pPr>
      <w:r>
        <w:t>А.А.ЕССЕН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jc w:val="right"/>
      </w:pPr>
      <w:r>
        <w:t>Председатель</w:t>
      </w:r>
    </w:p>
    <w:p w:rsidR="00625299" w:rsidRDefault="00625299">
      <w:pPr>
        <w:pStyle w:val="ConsPlusNormal"/>
        <w:jc w:val="right"/>
      </w:pPr>
      <w:r>
        <w:t>Сарапульской городской Думы</w:t>
      </w:r>
    </w:p>
    <w:p w:rsidR="00625299" w:rsidRDefault="00625299">
      <w:pPr>
        <w:pStyle w:val="ConsPlusNormal"/>
        <w:jc w:val="right"/>
      </w:pPr>
      <w:r>
        <w:t>С.Ю.СМОЛЯКОВ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jc w:val="right"/>
        <w:outlineLvl w:val="0"/>
      </w:pPr>
      <w:r>
        <w:t>Приложение N 1</w:t>
      </w:r>
    </w:p>
    <w:p w:rsidR="00625299" w:rsidRDefault="00625299">
      <w:pPr>
        <w:pStyle w:val="ConsPlusNormal"/>
        <w:jc w:val="right"/>
      </w:pPr>
      <w:r>
        <w:t>к решению</w:t>
      </w:r>
    </w:p>
    <w:p w:rsidR="00625299" w:rsidRDefault="00625299">
      <w:pPr>
        <w:pStyle w:val="ConsPlusNormal"/>
        <w:jc w:val="right"/>
      </w:pPr>
      <w:r>
        <w:t>Сарапульской городской Думы</w:t>
      </w:r>
    </w:p>
    <w:p w:rsidR="00625299" w:rsidRDefault="00625299">
      <w:pPr>
        <w:pStyle w:val="ConsPlusNormal"/>
        <w:jc w:val="right"/>
      </w:pPr>
      <w:r>
        <w:t>от 28 июня 2018 г. N 2-449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Title"/>
        <w:jc w:val="center"/>
      </w:pPr>
      <w:r>
        <w:t>ПЕРЕЧЕНЬ</w:t>
      </w:r>
    </w:p>
    <w:p w:rsidR="00625299" w:rsidRDefault="00625299">
      <w:pPr>
        <w:pStyle w:val="ConsPlusTitle"/>
        <w:jc w:val="center"/>
      </w:pPr>
      <w:r>
        <w:t xml:space="preserve">ДОКУМЕНТОВ, ПОДТВЕРЖДАЮЩИХ ПРАВО НА ЛЬГОТЫ </w:t>
      </w:r>
      <w:proofErr w:type="gramStart"/>
      <w:r>
        <w:t>ОТДЕЛЬНЫМ</w:t>
      </w:r>
      <w:proofErr w:type="gramEnd"/>
    </w:p>
    <w:p w:rsidR="00625299" w:rsidRDefault="00625299">
      <w:pPr>
        <w:pStyle w:val="ConsPlusTitle"/>
        <w:jc w:val="center"/>
      </w:pPr>
      <w:r>
        <w:t>КАТЕГОРИЯМ НАЛОГОПЛАТЕЛЬЩИКОВ ПО ЗЕМЕЛЬНОМУ НАЛОГУ, И СРОКИ</w:t>
      </w:r>
    </w:p>
    <w:p w:rsidR="00625299" w:rsidRDefault="00625299">
      <w:pPr>
        <w:pStyle w:val="ConsPlusTitle"/>
        <w:jc w:val="center"/>
      </w:pPr>
      <w:r>
        <w:t>ИХ ПРЕДСТАВЛЕНИЯ</w:t>
      </w:r>
    </w:p>
    <w:p w:rsidR="00625299" w:rsidRDefault="00625299">
      <w:pPr>
        <w:pStyle w:val="ConsPlusNormal"/>
        <w:spacing w:before="220"/>
        <w:ind w:firstLine="540"/>
        <w:jc w:val="both"/>
      </w:pPr>
      <w:r>
        <w:t xml:space="preserve">Утратил силу с 01.01.2020. - </w:t>
      </w:r>
      <w:hyperlink r:id="rId32">
        <w:r>
          <w:rPr>
            <w:color w:val="0000FF"/>
          </w:rPr>
          <w:t>Решение</w:t>
        </w:r>
      </w:hyperlink>
      <w:r>
        <w:t xml:space="preserve"> Сарапульской городской Думы от 28.11.2019 N 6-687.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jc w:val="right"/>
      </w:pPr>
      <w:r>
        <w:t>Начальник Управления</w:t>
      </w:r>
    </w:p>
    <w:p w:rsidR="00625299" w:rsidRDefault="00625299">
      <w:pPr>
        <w:pStyle w:val="ConsPlusNormal"/>
        <w:jc w:val="right"/>
      </w:pPr>
      <w:r>
        <w:t>по обеспечению деятельности</w:t>
      </w:r>
    </w:p>
    <w:p w:rsidR="00625299" w:rsidRDefault="00625299">
      <w:pPr>
        <w:pStyle w:val="ConsPlusNormal"/>
        <w:jc w:val="right"/>
      </w:pPr>
      <w:r>
        <w:t>Сарапульской городской Думы</w:t>
      </w:r>
    </w:p>
    <w:p w:rsidR="00625299" w:rsidRDefault="00625299">
      <w:pPr>
        <w:pStyle w:val="ConsPlusNormal"/>
        <w:jc w:val="right"/>
      </w:pPr>
      <w:r>
        <w:t>Т.Г.ЗАГАТИНА</w:t>
      </w: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ind w:firstLine="540"/>
        <w:jc w:val="both"/>
      </w:pPr>
    </w:p>
    <w:p w:rsidR="00625299" w:rsidRDefault="006252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B56" w:rsidRDefault="006C2B56">
      <w:bookmarkStart w:id="0" w:name="_GoBack"/>
      <w:bookmarkEnd w:id="0"/>
    </w:p>
    <w:sectPr w:rsidR="006C2B56" w:rsidSect="001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99"/>
    <w:rsid w:val="00625299"/>
    <w:rsid w:val="006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5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52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5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52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16687&amp;dst=100005" TargetMode="External"/><Relationship Id="rId13" Type="http://schemas.openxmlformats.org/officeDocument/2006/relationships/hyperlink" Target="https://login.consultant.ru/link/?req=doc&amp;base=RLAW053&amp;n=116687&amp;dst=100006" TargetMode="External"/><Relationship Id="rId18" Type="http://schemas.openxmlformats.org/officeDocument/2006/relationships/hyperlink" Target="https://login.consultant.ru/link/?req=doc&amp;base=RLAW053&amp;n=152027&amp;dst=100008" TargetMode="External"/><Relationship Id="rId26" Type="http://schemas.openxmlformats.org/officeDocument/2006/relationships/hyperlink" Target="https://login.consultant.ru/link/?req=doc&amp;base=RLAW053&amp;n=106736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79&amp;dst=14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53&amp;n=115124&amp;dst=100006" TargetMode="External"/><Relationship Id="rId12" Type="http://schemas.openxmlformats.org/officeDocument/2006/relationships/hyperlink" Target="https://login.consultant.ru/link/?req=doc&amp;base=LAW&amp;n=494979&amp;dst=10305" TargetMode="External"/><Relationship Id="rId17" Type="http://schemas.openxmlformats.org/officeDocument/2006/relationships/hyperlink" Target="https://login.consultant.ru/link/?req=doc&amp;base=RLAW053&amp;n=152027&amp;dst=100007" TargetMode="External"/><Relationship Id="rId25" Type="http://schemas.openxmlformats.org/officeDocument/2006/relationships/hyperlink" Target="https://login.consultant.ru/link/?req=doc&amp;base=RLAW053&amp;n=106736&amp;dst=10000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15124&amp;dst=100010" TargetMode="External"/><Relationship Id="rId20" Type="http://schemas.openxmlformats.org/officeDocument/2006/relationships/hyperlink" Target="https://login.consultant.ru/link/?req=doc&amp;base=LAW&amp;n=494979&amp;dst=1387" TargetMode="External"/><Relationship Id="rId29" Type="http://schemas.openxmlformats.org/officeDocument/2006/relationships/hyperlink" Target="https://login.consultant.ru/link/?req=doc&amp;base=RLAW053&amp;n=11668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06736&amp;dst=100006" TargetMode="External"/><Relationship Id="rId11" Type="http://schemas.openxmlformats.org/officeDocument/2006/relationships/hyperlink" Target="https://login.consultant.ru/link/?req=doc&amp;base=RLAW053&amp;n=159903&amp;dst=100653" TargetMode="External"/><Relationship Id="rId24" Type="http://schemas.openxmlformats.org/officeDocument/2006/relationships/hyperlink" Target="https://login.consultant.ru/link/?req=doc&amp;base=LAW&amp;n=466514" TargetMode="External"/><Relationship Id="rId32" Type="http://schemas.openxmlformats.org/officeDocument/2006/relationships/hyperlink" Target="https://login.consultant.ru/link/?req=doc&amp;base=RLAW053&amp;n=116687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15124&amp;dst=100008" TargetMode="External"/><Relationship Id="rId23" Type="http://schemas.openxmlformats.org/officeDocument/2006/relationships/hyperlink" Target="https://login.consultant.ru/link/?req=doc&amp;base=LAW&amp;n=466512" TargetMode="External"/><Relationship Id="rId28" Type="http://schemas.openxmlformats.org/officeDocument/2006/relationships/hyperlink" Target="https://login.consultant.ru/link/?req=doc&amp;base=RLAW053&amp;n=115124&amp;dst=100012" TargetMode="External"/><Relationship Id="rId10" Type="http://schemas.openxmlformats.org/officeDocument/2006/relationships/hyperlink" Target="https://login.consultant.ru/link/?req=doc&amp;base=LAW&amp;n=494979&amp;dst=10305" TargetMode="External"/><Relationship Id="rId19" Type="http://schemas.openxmlformats.org/officeDocument/2006/relationships/hyperlink" Target="https://login.consultant.ru/link/?req=doc&amp;base=RLAW053&amp;n=116687&amp;dst=100007" TargetMode="External"/><Relationship Id="rId31" Type="http://schemas.openxmlformats.org/officeDocument/2006/relationships/hyperlink" Target="https://login.consultant.ru/link/?req=doc&amp;base=RLAW053&amp;n=97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2027&amp;dst=100006" TargetMode="External"/><Relationship Id="rId14" Type="http://schemas.openxmlformats.org/officeDocument/2006/relationships/hyperlink" Target="https://login.consultant.ru/link/?req=doc&amp;base=LAW&amp;n=483132" TargetMode="External"/><Relationship Id="rId22" Type="http://schemas.openxmlformats.org/officeDocument/2006/relationships/hyperlink" Target="https://login.consultant.ru/link/?req=doc&amp;base=LAW&amp;n=470690" TargetMode="External"/><Relationship Id="rId27" Type="http://schemas.openxmlformats.org/officeDocument/2006/relationships/hyperlink" Target="https://login.consultant.ru/link/?req=doc&amp;base=LAW&amp;n=494979&amp;dst=15383" TargetMode="External"/><Relationship Id="rId30" Type="http://schemas.openxmlformats.org/officeDocument/2006/relationships/hyperlink" Target="https://login.consultant.ru/link/?req=doc&amp;base=RLAW053&amp;n=98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2025-03-13T07:23:00Z</dcterms:created>
  <dcterms:modified xsi:type="dcterms:W3CDTF">2025-03-13T07:24:00Z</dcterms:modified>
</cp:coreProperties>
</file>