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bCs/>
        </w:rPr>
        <w:t xml:space="preserve">ПЕРЕЧЕНЬ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нормативных правовых актов, содержащих обязательные требования, оценка соблюдения которых осуществляется в рамках лицензионного </w:t>
      </w:r>
      <w:r>
        <w:rPr>
          <w:rFonts w:ascii="Times New Roman" w:hAnsi="Times New Roman" w:cs="Times New Roman"/>
          <w:b/>
          <w:bCs/>
        </w:rPr>
        <w:t xml:space="preserve">контроля за</w:t>
      </w:r>
      <w:r>
        <w:rPr>
          <w:rFonts w:ascii="Times New Roman" w:hAnsi="Times New Roman" w:cs="Times New Roman"/>
          <w:b/>
          <w:bCs/>
        </w:rPr>
        <w:t xml:space="preserve"> деятельностью по управлению многоквартирными домами</w:t>
      </w:r>
      <w:r>
        <w:rPr>
          <w:rFonts w:ascii="Times New Roman" w:hAnsi="Times New Roman" w:cs="Times New Roman"/>
          <w:b/>
          <w:bCs/>
        </w:rPr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592"/>
        <w:gridCol w:w="563"/>
        <w:gridCol w:w="898"/>
        <w:gridCol w:w="1166"/>
        <w:gridCol w:w="548"/>
        <w:gridCol w:w="739"/>
        <w:gridCol w:w="976"/>
        <w:gridCol w:w="4"/>
        <w:gridCol w:w="1342"/>
        <w:gridCol w:w="4"/>
        <w:gridCol w:w="1457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Порядковый номер в перечне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Вид акта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Наименование акта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Дата утверждения акта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Номер акта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Дата государственной регистрации акта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Регистрационный номер Минюста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8" w:tooltip="http://pravo.gov.ru/proxy/ips/?docbody=&amp;nd=102090645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Федеральный закон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Жилищный кодекс Российской Федерации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29 декабря 2004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188-ФЗ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9" w:tooltip="http://pravo.gov.ru/proxy/ips/?docbody=&amp;nd=102133970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Федеральный закон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23 ноября 2009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261-ФЗ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0" w:tooltip="http://pravo.gov.ru/proxy/ips/?docbody=&amp;nd=102147413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Федеральный закон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лицензировании отдельных видов деятельности»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4 мая 2011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99-ФЗ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1" w:tooltip="http://pravo.gov.ru/proxy/ips/?docbody=&amp;nd=102356114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Федеральный закон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государственной информационной системе жилищно-коммунального хозяйства»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21 июля 2014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209-ФЗ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2" w:tooltip="http://pravo.gov.ru/proxy/ips/?docbody&amp;nd=102108472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13 августа 2006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491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3" w:tooltip="http://pravo.gov.ru/proxy/ips/?docbody=&amp;nd=102147807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предоставлении коммунальных услуг собственникам и пользователям помещений в многоквартирных домах и жилых домов»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6 мая 2011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354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4" w:tooltip="http://pravo.gov.ru/proxy/ips/?docbody=&amp;nd=102154083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Правилах, обязательные при заключении договоров снабжения коммунальными ресурсами»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14 февраля 2012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124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5" w:tooltip="http://pravo.gov.ru/proxy/ips/?docbody=&amp;nd=102164374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Минимальном перечне услуг и работ, необходимых для обеспечения надлежащего содержания общего имущества в многоквартирном доме, и порядок их оказания и выполнения»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3 апреля 2013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290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6" w:tooltip="http://pravo.gov.ru/proxy/ips/?docbody=&amp;nd=102165346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мерах по обеспечению безопасности при использовании и содержании внутридомового и внутриквартирного газового оборудования»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14 мая 2013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410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7" w:tooltip="http://pravo.gov.ru/proxy/ips/?docbody=&amp;nd=102165338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порядке осуществления деятельности по управлению многоквартирными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домами»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15 мая 2013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416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8" w:tooltip="http://pravo.gov.ru/proxy/ips/?docbody=&amp;nd=102360850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Правительства Российской Федерации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 лицензировании предпринимательской деятельности по управлению многоквартирными домами»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28 октября 2014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1110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Не подлежит государственной регистрации в Минюсте России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19" w:tooltip="https://www.consultant.ru/document/cons_doc_LAW_44772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Постановление Госстроя Российской Федерации 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от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«Об утверждении Правил и норм технической эксплуатации жилищного фонда»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27 сентября 2003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170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15 октября 2003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5176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20" w:tooltip="http://publication.pravo.gov.ru/Document/View/0001201503260028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Приказ Минстроя России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аннулирования квалификационного аттестата, Порядка ведения реестра квалификационных 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ттестатов, Формы квалификационного аттестата, Перечня вопросов, предлагаемых лицу, претендующему на получение квалификационного аттестата, на квалификационном экзамене, предусмотренных постановлением Правительства Российской Федерации от 28 октября 2014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br/>
              <w:t xml:space="preserve">№ 1110»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5 декабря 2014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789/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24 марта 2015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36550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21" w:tooltip="http://publication.pravo.gov.ru/Document/View/000120151225003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Минкомсвязи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 России, Минстроя 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России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«Об утверждении состава сведений о многоквартирных домах, деятельность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29 сентября 2015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368/691/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24 декабря 2015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40215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22" w:tooltip="http://publication.pravo.gov.ru/Document/View/0001201604120022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Приказ Минстроя России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«Об утверждении Порядка и сроков внесения изменений в реестр лицензий субъекта Российской Федерации»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25 декабря 2015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938/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8 апреля 2016 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41716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/>
            <w:hyperlink r:id="rId23" w:tooltip="http://publication.pravo.gov.ru/document/0001202403010004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Приказ Минстроя России</w:t>
              </w:r>
            </w:hyperlink>
            <w:r/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"Об установлении состава, сроков и периодичности размещения информации поставщика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7 февраля 2024 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79/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29 февраля 2024 г.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  <w:t xml:space="preserve">№ 77383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Ссылки на структурные единицы нормативного правового акта, содержащие обязательные требования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Физические лица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Физические лица, зарегистрированные как индивидуальные предприниматели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Иные категории лиц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Виды экономической деятельности лиц, обязанных соблюдать установленные нормативны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м правовым актом обязательные требования, в соответствии с Общероссийским классификатором видов экономической деятельности (в случае если обязательное требование устанавливается в отношении деятельности лиц)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Разделы I, II, VII, VIII, X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24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Статьи 11, 13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25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Статьи 13, 18, 19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26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Статьи 6, 7, 8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27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28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29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0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1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2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3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4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5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Порядок выдачи,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аннулирования квалификационного аттестата, Порядок ведения реестра квалификационных аттестатов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6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7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8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Весь нормативный правовой акт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Индивидуальные предприниматели,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Юридические лица, осуществляющие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(управляющие организации), товарищества собственников жилья, товарищества собственников недвижимости, жилищные кооперативы, жилищно-строительные кооперативы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ОКВЭД 2: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68.32.1 – </w:t>
            </w:r>
            <w:hyperlink r:id="rId39" w:tooltip="https://lugasoft.ru/ok/okved/2014/68.32.1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управление эксплуатацией жилого фонда за вознаграждение или на договорной основе</w:t>
              </w:r>
            </w:hyperlink>
            <w:r/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shd w:val="clear" w:color="auto" w:fill="ffffff"/>
        <w:rPr>
          <w:rFonts w:ascii="Arial" w:hAnsi="Arial" w:eastAsia="Times New Roman" w:cs="Arial"/>
          <w:vanish/>
          <w:color w:val="222222"/>
          <w:sz w:val="24"/>
          <w:szCs w:val="24"/>
          <w:lang w:eastAsia="ru-RU"/>
        </w:rPr>
      </w:pPr>
      <w:r>
        <w:rPr>
          <w:rFonts w:ascii="Arial" w:hAnsi="Arial" w:eastAsia="Times New Roman" w:cs="Arial"/>
          <w:vanish/>
          <w:color w:val="222222"/>
          <w:sz w:val="24"/>
          <w:szCs w:val="24"/>
          <w:lang w:eastAsia="ru-RU"/>
        </w:rPr>
      </w:r>
      <w:r>
        <w:rPr>
          <w:rFonts w:ascii="Arial" w:hAnsi="Arial" w:eastAsia="Times New Roman" w:cs="Arial"/>
          <w:vanish/>
          <w:color w:val="222222"/>
          <w:sz w:val="24"/>
          <w:szCs w:val="24"/>
          <w:lang w:eastAsia="ru-RU"/>
        </w:rPr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564"/>
        <w:gridCol w:w="1997"/>
        <w:gridCol w:w="1240"/>
        <w:gridCol w:w="1560"/>
        <w:gridCol w:w="1190"/>
      </w:tblGrid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Вид государственного контроля (надзора), наименование вида разрешительной деятельности, в рамках которых обеспечивается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оценка соблюдения обязательных требований, установленных нормативным правовым актом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Наименование органа государственной власти, осуществляющего государственный контроль (надзор) или разрешительн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ую деятельность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Ссылки на положения нормативных правовых актов, предусматривающих установление административной ответственности за несоблюдение обязательного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Гиперссылки на утвержденные проверочные листы (при их наличии)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Гиперссылки на документы, содержащие информацию о способах и процедуре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самообследования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br/>
              <w:t xml:space="preserve">(при ее наличии)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Гиперссылки на руководства по соблюдению обязательных требований, иные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pacing w:val="-5"/>
                <w:sz w:val="24"/>
                <w:szCs w:val="24"/>
                <w:lang w:eastAsia="ru-RU"/>
              </w:rPr>
              <w:t xml:space="preserve">документы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/>
            <w:hyperlink r:id="rId40" w:tooltip="https://www.consultant.ru/document/cons_doc_LAW_34661/a94bc54c3006f07a42cb4f390bbe3a8608a85b69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Статья 7.23.3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/>
            <w:hyperlink r:id="rId41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статья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 </w:t>
            </w:r>
            <w:hyperlink r:id="rId42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часть 1 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4 – 6, 12 </w:t>
            </w:r>
            <w:hyperlink r:id="rId43" w:tooltip="https://www.consultant.ru/document/cons_doc_LAW_34661/b62b4edeff019ef9d001060bb4ae763672b502b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9.16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44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Часть 1 статьи </w:t>
            </w:r>
            <w:hyperlink r:id="rId45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46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Часть 1 статьи </w:t>
            </w:r>
            <w:hyperlink r:id="rId47" w:tooltip="https://www.consultant.ru/document/cons_doc_LAW_34661/86e7d10dca9fb69a08ce3b5516fd62cce8b06560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13.19.1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 </w:t>
            </w:r>
            <w:hyperlink r:id="rId48" w:tooltip="https://www.consultant.ru/document/cons_doc_LAW_34661/e3aa197d28e4e1cfaa78be7f35e5854f264f9203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статья 13.19.2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49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2 и 3 </w:t>
            </w:r>
            <w:hyperlink r:id="rId50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51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 Российской Федерации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2 и 3 </w:t>
            </w:r>
            <w:hyperlink r:id="rId52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53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 Российской Федерации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2 и 3 </w:t>
            </w:r>
            <w:hyperlink r:id="rId54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55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 Российской Федерации об административных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2 и 3 </w:t>
            </w:r>
            <w:hyperlink r:id="rId56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57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 Российской Федерации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/>
            <w:hyperlink r:id="rId58" w:tooltip="https://www.consultant.ru/document/cons_doc_LAW_34661/d446ba6a2748b1518e809a05767922f4b559514a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Статья 9.23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59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 Российской Федерации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/>
            <w:hyperlink r:id="rId60" w:tooltip="https://www.consultant.ru/document/cons_doc_LAW_34661/752f982deb5834d092eccb23b2f6c59d8446b76d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Статья 7.23.2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61" w:tooltip="https://www.consultant.ru/document/cons_doc_LAW_34661/a94bc54c3006f07a42cb4f390bbe3a8608a85b69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7.23.3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62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 Российской Федерации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2,3 </w:t>
            </w:r>
            <w:hyperlink r:id="rId63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64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Части 2,3 </w:t>
            </w:r>
            <w:hyperlink r:id="rId65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66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Часть 2 </w:t>
            </w:r>
            <w:hyperlink r:id="rId67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68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Часть 1 </w:t>
            </w:r>
            <w:hyperlink r:id="rId69" w:tooltip="https://www.consultant.ru/document/cons_doc_LAW_34661/86e7d10dca9fb69a08ce3b5516fd62cce8b06560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13.19.1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части 2,3 </w:t>
            </w:r>
            <w:hyperlink r:id="rId70" w:tooltip="https://www.consultant.ru/document/cons_doc_LAW_34661/e3aa197d28e4e1cfaa78be7f35e5854f264f9203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13.19.2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71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Часть 1 </w:t>
            </w:r>
            <w:hyperlink r:id="rId72" w:tooltip="https://www.consultant.ru/document/cons_doc_LAW_34661/181e95ee08e6cddeaa771aa771b1f1ad081c9ef1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14.1.3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73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Лицензионный 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контроль за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Орган исполнительной власти субъекта Российской Федерации, осуществляющий государственный жилищный надзор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Часть 1 </w:t>
            </w:r>
            <w:hyperlink r:id="rId74" w:tooltip="https://www.consultant.ru/document/cons_doc_LAW_34661/86e7d10dca9fb69a08ce3b5516fd62cce8b06560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13.19.1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части 2,3 </w:t>
            </w:r>
            <w:hyperlink r:id="rId75" w:tooltip="https://www.consultant.ru/document/cons_doc_LAW_34661/e3aa197d28e4e1cfaa78be7f35e5854f264f9203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13.19.2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, часть 1 </w:t>
            </w:r>
            <w:hyperlink r:id="rId76" w:tooltip="https://www.consultant.ru/document/cons_doc_LAW_34661/c9540220757eaa24167e7288784ad40b4c8de5db/" w:history="1">
              <w:r>
                <w:rPr>
                  <w:rFonts w:ascii="Times New Roman" w:hAnsi="Times New Roman" w:eastAsia="Times New Roman" w:cs="Times New Roman"/>
                  <w:color w:val="0000ff"/>
                  <w:spacing w:val="-5"/>
                  <w:sz w:val="24"/>
                  <w:szCs w:val="24"/>
                  <w:u w:val="single"/>
                  <w:lang w:eastAsia="ru-RU"/>
                </w:rPr>
                <w:t xml:space="preserve">статьи 19.5</w:t>
              </w:r>
            </w:hyperlink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 Кодекса Российской Федерации об 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  <w:t xml:space="preserve">Отсутствуют</w:t>
            </w:r>
            <w:r>
              <w:rPr>
                <w:rFonts w:ascii="Times New Roman" w:hAnsi="Times New Roman" w:eastAsia="Times New Roman" w:cs="Times New Roman"/>
                <w:color w:val="333333"/>
                <w:spacing w:val="-5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pravo.gov.ru/proxy/ips/?docbody=&amp;nd=102090645" TargetMode="External"/><Relationship Id="rId9" Type="http://schemas.openxmlformats.org/officeDocument/2006/relationships/hyperlink" Target="http://pravo.gov.ru/proxy/ips/?docbody=&amp;nd=102133970" TargetMode="External"/><Relationship Id="rId10" Type="http://schemas.openxmlformats.org/officeDocument/2006/relationships/hyperlink" Target="http://pravo.gov.ru/proxy/ips/?docbody=&amp;nd=102147413" TargetMode="External"/><Relationship Id="rId11" Type="http://schemas.openxmlformats.org/officeDocument/2006/relationships/hyperlink" Target="http://pravo.gov.ru/proxy/ips/?docbody=&amp;nd=102356114" TargetMode="External"/><Relationship Id="rId12" Type="http://schemas.openxmlformats.org/officeDocument/2006/relationships/hyperlink" Target="http://pravo.gov.ru/proxy/ips/?docbody&amp;nd=102108472" TargetMode="External"/><Relationship Id="rId13" Type="http://schemas.openxmlformats.org/officeDocument/2006/relationships/hyperlink" Target="http://pravo.gov.ru/proxy/ips/?docbody=&amp;nd=102147807" TargetMode="External"/><Relationship Id="rId14" Type="http://schemas.openxmlformats.org/officeDocument/2006/relationships/hyperlink" Target="http://pravo.gov.ru/proxy/ips/?docbody=&amp;nd=102154083" TargetMode="External"/><Relationship Id="rId15" Type="http://schemas.openxmlformats.org/officeDocument/2006/relationships/hyperlink" Target="http://pravo.gov.ru/proxy/ips/?docbody=&amp;nd=102164374" TargetMode="External"/><Relationship Id="rId16" Type="http://schemas.openxmlformats.org/officeDocument/2006/relationships/hyperlink" Target="http://pravo.gov.ru/proxy/ips/?docbody=&amp;nd=102165346" TargetMode="External"/><Relationship Id="rId17" Type="http://schemas.openxmlformats.org/officeDocument/2006/relationships/hyperlink" Target="http://pravo.gov.ru/proxy/ips/?docbody=&amp;nd=102165338" TargetMode="External"/><Relationship Id="rId18" Type="http://schemas.openxmlformats.org/officeDocument/2006/relationships/hyperlink" Target="http://pravo.gov.ru/proxy/ips/?docbody=&amp;nd=102360850" TargetMode="External"/><Relationship Id="rId19" Type="http://schemas.openxmlformats.org/officeDocument/2006/relationships/hyperlink" Target="https://www.consultant.ru/document/cons_doc_LAW_44772/" TargetMode="External"/><Relationship Id="rId20" Type="http://schemas.openxmlformats.org/officeDocument/2006/relationships/hyperlink" Target="http://publication.pravo.gov.ru/Document/View/0001201503260028" TargetMode="External"/><Relationship Id="rId21" Type="http://schemas.openxmlformats.org/officeDocument/2006/relationships/hyperlink" Target="http://publication.pravo.gov.ru/Document/View/0001201512250031" TargetMode="External"/><Relationship Id="rId22" Type="http://schemas.openxmlformats.org/officeDocument/2006/relationships/hyperlink" Target="http://publication.pravo.gov.ru/Document/View/0001201604120022" TargetMode="External"/><Relationship Id="rId23" Type="http://schemas.openxmlformats.org/officeDocument/2006/relationships/hyperlink" Target="http://publication.pravo.gov.ru/document/0001202403010004" TargetMode="External"/><Relationship Id="rId24" Type="http://schemas.openxmlformats.org/officeDocument/2006/relationships/hyperlink" Target="https://lugasoft.ru/ok/okved/2014/68.32.1" TargetMode="External"/><Relationship Id="rId25" Type="http://schemas.openxmlformats.org/officeDocument/2006/relationships/hyperlink" Target="https://lugasoft.ru/ok/okved/2014/68.32.1" TargetMode="External"/><Relationship Id="rId26" Type="http://schemas.openxmlformats.org/officeDocument/2006/relationships/hyperlink" Target="https://lugasoft.ru/ok/okved/2014/68.32.1" TargetMode="External"/><Relationship Id="rId27" Type="http://schemas.openxmlformats.org/officeDocument/2006/relationships/hyperlink" Target="https://lugasoft.ru/ok/okved/2014/68.32.1" TargetMode="External"/><Relationship Id="rId28" Type="http://schemas.openxmlformats.org/officeDocument/2006/relationships/hyperlink" Target="https://lugasoft.ru/ok/okved/2014/68.32.1" TargetMode="External"/><Relationship Id="rId29" Type="http://schemas.openxmlformats.org/officeDocument/2006/relationships/hyperlink" Target="https://lugasoft.ru/ok/okved/2014/68.32.1" TargetMode="External"/><Relationship Id="rId30" Type="http://schemas.openxmlformats.org/officeDocument/2006/relationships/hyperlink" Target="https://lugasoft.ru/ok/okved/2014/68.32.1" TargetMode="External"/><Relationship Id="rId31" Type="http://schemas.openxmlformats.org/officeDocument/2006/relationships/hyperlink" Target="https://lugasoft.ru/ok/okved/2014/68.32.1" TargetMode="External"/><Relationship Id="rId32" Type="http://schemas.openxmlformats.org/officeDocument/2006/relationships/hyperlink" Target="https://lugasoft.ru/ok/okved/2014/68.32.1" TargetMode="External"/><Relationship Id="rId33" Type="http://schemas.openxmlformats.org/officeDocument/2006/relationships/hyperlink" Target="https://lugasoft.ru/ok/okved/2014/68.32.1" TargetMode="External"/><Relationship Id="rId34" Type="http://schemas.openxmlformats.org/officeDocument/2006/relationships/hyperlink" Target="https://lugasoft.ru/ok/okved/2014/68.32.1" TargetMode="External"/><Relationship Id="rId35" Type="http://schemas.openxmlformats.org/officeDocument/2006/relationships/hyperlink" Target="https://lugasoft.ru/ok/okved/2014/68.32.1" TargetMode="External"/><Relationship Id="rId36" Type="http://schemas.openxmlformats.org/officeDocument/2006/relationships/hyperlink" Target="https://lugasoft.ru/ok/okved/2014/68.32.1" TargetMode="External"/><Relationship Id="rId37" Type="http://schemas.openxmlformats.org/officeDocument/2006/relationships/hyperlink" Target="https://lugasoft.ru/ok/okved/2014/68.32.1" TargetMode="External"/><Relationship Id="rId38" Type="http://schemas.openxmlformats.org/officeDocument/2006/relationships/hyperlink" Target="https://lugasoft.ru/ok/okved/2014/68.32.1" TargetMode="External"/><Relationship Id="rId39" Type="http://schemas.openxmlformats.org/officeDocument/2006/relationships/hyperlink" Target="https://lugasoft.ru/ok/okved/2014/68.32.1" TargetMode="External"/><Relationship Id="rId40" Type="http://schemas.openxmlformats.org/officeDocument/2006/relationships/hyperlink" Target="https://www.consultant.ru/document/cons_doc_LAW_34661/a94bc54c3006f07a42cb4f390bbe3a8608a85b69/" TargetMode="External"/><Relationship Id="rId41" Type="http://schemas.openxmlformats.org/officeDocument/2006/relationships/hyperlink" Target="https://www.consultant.ru/document/cons_doc_LAW_34661/181e95ee08e6cddeaa771aa771b1f1ad081c9ef1/" TargetMode="External"/><Relationship Id="rId42" Type="http://schemas.openxmlformats.org/officeDocument/2006/relationships/hyperlink" Target="https://www.consultant.ru/document/cons_doc_LAW_34661/c9540220757eaa24167e7288784ad40b4c8de5db/" TargetMode="External"/><Relationship Id="rId43" Type="http://schemas.openxmlformats.org/officeDocument/2006/relationships/hyperlink" Target="https://www.consultant.ru/document/cons_doc_LAW_34661/b62b4edeff019ef9d001060bb4ae763672b502bb/" TargetMode="External"/><Relationship Id="rId44" Type="http://schemas.openxmlformats.org/officeDocument/2006/relationships/hyperlink" Target="https://www.consultant.ru/document/cons_doc_LAW_34661/c9540220757eaa24167e7288784ad40b4c8de5db/" TargetMode="External"/><Relationship Id="rId45" Type="http://schemas.openxmlformats.org/officeDocument/2006/relationships/hyperlink" Target="https://www.consultant.ru/document/cons_doc_LAW_34661/181e95ee08e6cddeaa771aa771b1f1ad081c9ef1/" TargetMode="External"/><Relationship Id="rId46" Type="http://schemas.openxmlformats.org/officeDocument/2006/relationships/hyperlink" Target="https://www.consultant.ru/document/cons_doc_LAW_34661/c9540220757eaa24167e7288784ad40b4c8de5db/" TargetMode="External"/><Relationship Id="rId47" Type="http://schemas.openxmlformats.org/officeDocument/2006/relationships/hyperlink" Target="https://www.consultant.ru/document/cons_doc_LAW_34661/86e7d10dca9fb69a08ce3b5516fd62cce8b06560/" TargetMode="External"/><Relationship Id="rId48" Type="http://schemas.openxmlformats.org/officeDocument/2006/relationships/hyperlink" Target="https://www.consultant.ru/document/cons_doc_LAW_34661/e3aa197d28e4e1cfaa78be7f35e5854f264f9203/" TargetMode="External"/><Relationship Id="rId49" Type="http://schemas.openxmlformats.org/officeDocument/2006/relationships/hyperlink" Target="https://www.consultant.ru/document/cons_doc_LAW_34661/c9540220757eaa24167e7288784ad40b4c8de5db/" TargetMode="External"/><Relationship Id="rId50" Type="http://schemas.openxmlformats.org/officeDocument/2006/relationships/hyperlink" Target="https://www.consultant.ru/document/cons_doc_LAW_34661/181e95ee08e6cddeaa771aa771b1f1ad081c9ef1/" TargetMode="External"/><Relationship Id="rId51" Type="http://schemas.openxmlformats.org/officeDocument/2006/relationships/hyperlink" Target="https://www.consultant.ru/document/cons_doc_LAW_34661/c9540220757eaa24167e7288784ad40b4c8de5db/" TargetMode="External"/><Relationship Id="rId52" Type="http://schemas.openxmlformats.org/officeDocument/2006/relationships/hyperlink" Target="https://www.consultant.ru/document/cons_doc_LAW_34661/181e95ee08e6cddeaa771aa771b1f1ad081c9ef1/" TargetMode="External"/><Relationship Id="rId53" Type="http://schemas.openxmlformats.org/officeDocument/2006/relationships/hyperlink" Target="https://www.consultant.ru/document/cons_doc_LAW_34661/c9540220757eaa24167e7288784ad40b4c8de5db/" TargetMode="External"/><Relationship Id="rId54" Type="http://schemas.openxmlformats.org/officeDocument/2006/relationships/hyperlink" Target="https://www.consultant.ru/document/cons_doc_LAW_34661/181e95ee08e6cddeaa771aa771b1f1ad081c9ef1/" TargetMode="External"/><Relationship Id="rId55" Type="http://schemas.openxmlformats.org/officeDocument/2006/relationships/hyperlink" Target="https://www.consultant.ru/document/cons_doc_LAW_34661/c9540220757eaa24167e7288784ad40b4c8de5db/" TargetMode="External"/><Relationship Id="rId56" Type="http://schemas.openxmlformats.org/officeDocument/2006/relationships/hyperlink" Target="https://www.consultant.ru/document/cons_doc_LAW_34661/181e95ee08e6cddeaa771aa771b1f1ad081c9ef1/" TargetMode="External"/><Relationship Id="rId57" Type="http://schemas.openxmlformats.org/officeDocument/2006/relationships/hyperlink" Target="https://www.consultant.ru/document/cons_doc_LAW_34661/c9540220757eaa24167e7288784ad40b4c8de5db/" TargetMode="External"/><Relationship Id="rId58" Type="http://schemas.openxmlformats.org/officeDocument/2006/relationships/hyperlink" Target="https://www.consultant.ru/document/cons_doc_LAW_34661/d446ba6a2748b1518e809a05767922f4b559514a/" TargetMode="External"/><Relationship Id="rId59" Type="http://schemas.openxmlformats.org/officeDocument/2006/relationships/hyperlink" Target="https://www.consultant.ru/document/cons_doc_LAW_34661/c9540220757eaa24167e7288784ad40b4c8de5db/" TargetMode="External"/><Relationship Id="rId60" Type="http://schemas.openxmlformats.org/officeDocument/2006/relationships/hyperlink" Target="https://www.consultant.ru/document/cons_doc_LAW_34661/752f982deb5834d092eccb23b2f6c59d8446b76d/" TargetMode="External"/><Relationship Id="rId61" Type="http://schemas.openxmlformats.org/officeDocument/2006/relationships/hyperlink" Target="https://www.consultant.ru/document/cons_doc_LAW_34661/a94bc54c3006f07a42cb4f390bbe3a8608a85b69/" TargetMode="External"/><Relationship Id="rId62" Type="http://schemas.openxmlformats.org/officeDocument/2006/relationships/hyperlink" Target="https://www.consultant.ru/document/cons_doc_LAW_34661/c9540220757eaa24167e7288784ad40b4c8de5db/" TargetMode="External"/><Relationship Id="rId63" Type="http://schemas.openxmlformats.org/officeDocument/2006/relationships/hyperlink" Target="https://www.consultant.ru/document/cons_doc_LAW_34661/181e95ee08e6cddeaa771aa771b1f1ad081c9ef1/" TargetMode="External"/><Relationship Id="rId64" Type="http://schemas.openxmlformats.org/officeDocument/2006/relationships/hyperlink" Target="https://www.consultant.ru/document/cons_doc_LAW_34661/c9540220757eaa24167e7288784ad40b4c8de5db/" TargetMode="External"/><Relationship Id="rId65" Type="http://schemas.openxmlformats.org/officeDocument/2006/relationships/hyperlink" Target="https://www.consultant.ru/document/cons_doc_LAW_34661/181e95ee08e6cddeaa771aa771b1f1ad081c9ef1/" TargetMode="External"/><Relationship Id="rId66" Type="http://schemas.openxmlformats.org/officeDocument/2006/relationships/hyperlink" Target="https://www.consultant.ru/document/cons_doc_LAW_34661/c9540220757eaa24167e7288784ad40b4c8de5db/" TargetMode="External"/><Relationship Id="rId67" Type="http://schemas.openxmlformats.org/officeDocument/2006/relationships/hyperlink" Target="https://www.consultant.ru/document/cons_doc_LAW_34661/181e95ee08e6cddeaa771aa771b1f1ad081c9ef1/" TargetMode="External"/><Relationship Id="rId68" Type="http://schemas.openxmlformats.org/officeDocument/2006/relationships/hyperlink" Target="https://www.consultant.ru/document/cons_doc_LAW_34661/c9540220757eaa24167e7288784ad40b4c8de5db/" TargetMode="External"/><Relationship Id="rId69" Type="http://schemas.openxmlformats.org/officeDocument/2006/relationships/hyperlink" Target="https://www.consultant.ru/document/cons_doc_LAW_34661/86e7d10dca9fb69a08ce3b5516fd62cce8b06560/" TargetMode="External"/><Relationship Id="rId70" Type="http://schemas.openxmlformats.org/officeDocument/2006/relationships/hyperlink" Target="https://www.consultant.ru/document/cons_doc_LAW_34661/e3aa197d28e4e1cfaa78be7f35e5854f264f9203/" TargetMode="External"/><Relationship Id="rId71" Type="http://schemas.openxmlformats.org/officeDocument/2006/relationships/hyperlink" Target="https://www.consultant.ru/document/cons_doc_LAW_34661/c9540220757eaa24167e7288784ad40b4c8de5db/" TargetMode="External"/><Relationship Id="rId72" Type="http://schemas.openxmlformats.org/officeDocument/2006/relationships/hyperlink" Target="https://www.consultant.ru/document/cons_doc_LAW_34661/181e95ee08e6cddeaa771aa771b1f1ad081c9ef1/" TargetMode="External"/><Relationship Id="rId73" Type="http://schemas.openxmlformats.org/officeDocument/2006/relationships/hyperlink" Target="https://www.consultant.ru/document/cons_doc_LAW_34661/c9540220757eaa24167e7288784ad40b4c8de5db/" TargetMode="External"/><Relationship Id="rId74" Type="http://schemas.openxmlformats.org/officeDocument/2006/relationships/hyperlink" Target="https://www.consultant.ru/document/cons_doc_LAW_34661/86e7d10dca9fb69a08ce3b5516fd62cce8b06560/" TargetMode="External"/><Relationship Id="rId75" Type="http://schemas.openxmlformats.org/officeDocument/2006/relationships/hyperlink" Target="https://www.consultant.ru/document/cons_doc_LAW_34661/e3aa197d28e4e1cfaa78be7f35e5854f264f9203/" TargetMode="External"/><Relationship Id="rId76" Type="http://schemas.openxmlformats.org/officeDocument/2006/relationships/hyperlink" Target="https://www.consultant.ru/document/cons_doc_LAW_34661/c9540220757eaa24167e7288784ad40b4c8de5db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zkh_24</dc:creator>
  <cp:lastModifiedBy>Кузнецов Александр</cp:lastModifiedBy>
  <cp:revision>3</cp:revision>
  <dcterms:created xsi:type="dcterms:W3CDTF">2025-09-23T12:39:00Z</dcterms:created>
  <dcterms:modified xsi:type="dcterms:W3CDTF">2025-09-24T04:41:07Z</dcterms:modified>
</cp:coreProperties>
</file>