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569F8" w:rsidRPr="00C569F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06C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F41BB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="0064624D">
        <w:rPr>
          <w:rFonts w:ascii="Times New Roman" w:hAnsi="Times New Roman"/>
          <w:b/>
          <w:bCs/>
          <w:color w:val="000000"/>
          <w:sz w:val="24"/>
          <w:szCs w:val="24"/>
        </w:rPr>
        <w:t>марта</w:t>
      </w:r>
      <w:r w:rsidR="008006C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64624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006C7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C569F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569F8" w:rsidRPr="009A66C8" w:rsidRDefault="00C569F8" w:rsidP="00C5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569F8" w:rsidRPr="009A66C8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C569F8" w:rsidRPr="009A66C8" w:rsidRDefault="00C569F8" w:rsidP="00C569F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42954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655ADA" w:rsidRPr="003F10D5" w:rsidRDefault="003F10D5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55ADA" w:rsidRPr="003F10D5">
        <w:rPr>
          <w:rFonts w:ascii="Times New Roman" w:eastAsia="Times New Roman" w:hAnsi="Times New Roman"/>
          <w:sz w:val="24"/>
          <w:szCs w:val="24"/>
          <w:lang w:eastAsia="ru-RU"/>
        </w:rPr>
        <w:t>омплекс муниципального недвижимого имущества состоящего из следующих объектов: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301,4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 2, кадастровый номер 18:30:000279:40,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60, строение № 2;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47,9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 этажей 1, кадастровый номер 18:30:000279:38,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60;</w:t>
      </w:r>
    </w:p>
    <w:p w:rsidR="00655ADA" w:rsidRPr="003F10D5" w:rsidRDefault="00655ADA" w:rsidP="0065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1361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18:30:000279:57,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не связанной с 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государственными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муниципальным управлением, расположенный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4153F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</w:t>
      </w:r>
      <w:r w:rsidR="003F10D5">
        <w:rPr>
          <w:rFonts w:ascii="Times New Roman CYR" w:hAnsi="Times New Roman CYR" w:cs="Times New Roman CYR"/>
          <w:bCs/>
          <w:sz w:val="24"/>
          <w:szCs w:val="24"/>
        </w:rPr>
        <w:t>515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Два </w:t>
      </w:r>
      <w:r>
        <w:rPr>
          <w:rFonts w:ascii="Times New Roman CYR" w:hAnsi="Times New Roman CYR" w:cs="Times New Roman CYR"/>
          <w:sz w:val="24"/>
          <w:szCs w:val="24"/>
        </w:rPr>
        <w:t>миллион</w:t>
      </w:r>
      <w:r w:rsidR="003F10D5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пятьсот пятнадцать </w:t>
      </w:r>
      <w:r>
        <w:rPr>
          <w:rFonts w:ascii="Times New Roman CYR" w:hAnsi="Times New Roman CYR" w:cs="Times New Roman CYR"/>
          <w:sz w:val="24"/>
          <w:szCs w:val="24"/>
        </w:rPr>
        <w:t>тысяч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 20% - 148 333 руб. 00 коп</w:t>
      </w:r>
      <w:r w:rsidRPr="009A66C8">
        <w:rPr>
          <w:rFonts w:ascii="Times New Roman" w:hAnsi="Times New Roman"/>
          <w:sz w:val="24"/>
          <w:szCs w:val="24"/>
        </w:rPr>
        <w:t>.</w:t>
      </w:r>
      <w:r w:rsidR="003F10D5">
        <w:rPr>
          <w:rFonts w:ascii="Times New Roman" w:hAnsi="Times New Roman"/>
          <w:sz w:val="24"/>
          <w:szCs w:val="24"/>
        </w:rPr>
        <w:t xml:space="preserve"> (Сто сорок восемь тысяч рублей триста тридцать три рубля 00 копеек). 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</w:t>
      </w:r>
      <w:r w:rsidR="003F10D5">
        <w:rPr>
          <w:rFonts w:ascii="Times New Roman" w:eastAsiaTheme="minorHAnsi" w:hAnsi="Times New Roman"/>
          <w:sz w:val="24"/>
          <w:szCs w:val="24"/>
        </w:rPr>
        <w:t>1 257 5</w:t>
      </w:r>
      <w:r>
        <w:rPr>
          <w:rFonts w:ascii="Times New Roman" w:eastAsiaTheme="minorHAnsi" w:hAnsi="Times New Roman"/>
          <w:sz w:val="24"/>
          <w:szCs w:val="24"/>
        </w:rPr>
        <w:t>00 руб. 00 коп. (</w:t>
      </w:r>
      <w:r w:rsidR="003F10D5">
        <w:rPr>
          <w:rFonts w:ascii="Times New Roman" w:eastAsiaTheme="minorHAnsi" w:hAnsi="Times New Roman"/>
          <w:sz w:val="24"/>
          <w:szCs w:val="24"/>
        </w:rPr>
        <w:t>Один мил</w:t>
      </w:r>
      <w:r w:rsidR="0004153F">
        <w:rPr>
          <w:rFonts w:ascii="Times New Roman" w:eastAsiaTheme="minorHAnsi" w:hAnsi="Times New Roman"/>
          <w:sz w:val="24"/>
          <w:szCs w:val="24"/>
        </w:rPr>
        <w:t xml:space="preserve">лион </w:t>
      </w:r>
      <w:r w:rsidR="003F10D5">
        <w:rPr>
          <w:rFonts w:ascii="Times New Roman" w:eastAsiaTheme="minorHAnsi" w:hAnsi="Times New Roman"/>
          <w:sz w:val="24"/>
          <w:szCs w:val="24"/>
        </w:rPr>
        <w:t>двести пятьдесят семь</w:t>
      </w:r>
      <w:r>
        <w:rPr>
          <w:rFonts w:ascii="Times New Roman" w:eastAsiaTheme="minorHAnsi" w:hAnsi="Times New Roman"/>
          <w:sz w:val="24"/>
          <w:szCs w:val="24"/>
        </w:rPr>
        <w:t xml:space="preserve"> тысяч 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пятьсот </w:t>
      </w:r>
      <w:r>
        <w:rPr>
          <w:rFonts w:ascii="Times New Roman" w:eastAsiaTheme="minorHAnsi" w:hAnsi="Times New Roman"/>
          <w:sz w:val="24"/>
          <w:szCs w:val="24"/>
        </w:rPr>
        <w:t xml:space="preserve">рублей 00 копеек)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НДС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74 167 руб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00 коп. (Семьдесят четыре тысячи рублей сто шестьдесят семь рублей 00 копеек).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 251 500</w:t>
      </w:r>
      <w:r>
        <w:rPr>
          <w:rFonts w:ascii="Times New Roman" w:eastAsiaTheme="minorHAnsi" w:hAnsi="Times New Roman"/>
          <w:sz w:val="24"/>
          <w:szCs w:val="24"/>
        </w:rPr>
        <w:t xml:space="preserve"> руб. 00 коп. (</w:t>
      </w:r>
      <w:r w:rsidR="003F10D5">
        <w:rPr>
          <w:rFonts w:ascii="Times New Roman" w:eastAsiaTheme="minorHAnsi" w:hAnsi="Times New Roman"/>
          <w:sz w:val="24"/>
          <w:szCs w:val="24"/>
        </w:rPr>
        <w:t xml:space="preserve">Двести пятьдесят одна </w:t>
      </w:r>
      <w:r>
        <w:rPr>
          <w:rFonts w:ascii="Times New Roman" w:eastAsiaTheme="minorHAnsi" w:hAnsi="Times New Roman"/>
          <w:sz w:val="24"/>
          <w:szCs w:val="24"/>
        </w:rPr>
        <w:t>тысяч</w:t>
      </w:r>
      <w:r w:rsidR="003F10D5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F10D5">
        <w:rPr>
          <w:rFonts w:ascii="Times New Roman" w:eastAsiaTheme="minorHAnsi" w:hAnsi="Times New Roman"/>
          <w:sz w:val="24"/>
          <w:szCs w:val="24"/>
        </w:rPr>
        <w:t>пятьсот</w:t>
      </w:r>
      <w:r>
        <w:rPr>
          <w:rFonts w:ascii="Times New Roman" w:eastAsiaTheme="minorHAnsi" w:hAnsi="Times New Roman"/>
          <w:sz w:val="24"/>
          <w:szCs w:val="24"/>
        </w:rPr>
        <w:t xml:space="preserve"> рублей 00 копеек)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3F10D5">
        <w:rPr>
          <w:rFonts w:ascii="Times New Roman CYR" w:hAnsi="Times New Roman CYR" w:cs="Times New Roman CYR"/>
          <w:sz w:val="24"/>
          <w:szCs w:val="24"/>
        </w:rPr>
        <w:t>125 750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 w:rsidR="003F10D5">
        <w:rPr>
          <w:rFonts w:ascii="Times New Roman CYR" w:hAnsi="Times New Roman CYR" w:cs="Times New Roman CYR"/>
          <w:sz w:val="24"/>
          <w:szCs w:val="24"/>
        </w:rPr>
        <w:t>Сто двадцать пять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тысяч </w:t>
      </w:r>
      <w:r w:rsidR="003F10D5">
        <w:rPr>
          <w:rFonts w:ascii="Times New Roman CYR" w:hAnsi="Times New Roman CYR" w:cs="Times New Roman CYR"/>
          <w:sz w:val="24"/>
          <w:szCs w:val="24"/>
        </w:rPr>
        <w:t>семьсот пятьдесят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 503</w:t>
      </w:r>
      <w:r w:rsidR="0004153F">
        <w:rPr>
          <w:rFonts w:ascii="Times New Roman CYR" w:hAnsi="Times New Roman CYR" w:cs="Times New Roman CYR"/>
          <w:sz w:val="24"/>
          <w:szCs w:val="24"/>
        </w:rPr>
        <w:t> </w:t>
      </w:r>
      <w:r w:rsidR="003F10D5">
        <w:rPr>
          <w:rFonts w:ascii="Times New Roman CYR" w:hAnsi="Times New Roman CYR" w:cs="Times New Roman CYR"/>
          <w:sz w:val="24"/>
          <w:szCs w:val="24"/>
        </w:rPr>
        <w:t>0</w:t>
      </w:r>
      <w:r w:rsidR="0004153F">
        <w:rPr>
          <w:rFonts w:ascii="Times New Roman CYR" w:hAnsi="Times New Roman CYR" w:cs="Times New Roman CYR"/>
          <w:sz w:val="24"/>
          <w:szCs w:val="24"/>
        </w:rPr>
        <w:t xml:space="preserve">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 w:rsidR="003F10D5">
        <w:rPr>
          <w:rFonts w:ascii="Times New Roman CYR" w:hAnsi="Times New Roman CYR" w:cs="Times New Roman CYR"/>
          <w:sz w:val="24"/>
          <w:szCs w:val="24"/>
        </w:rPr>
        <w:t xml:space="preserve">Пятьсот три </w:t>
      </w:r>
      <w:r>
        <w:rPr>
          <w:rFonts w:ascii="Times New Roman CYR" w:hAnsi="Times New Roman CYR" w:cs="Times New Roman CYR"/>
          <w:sz w:val="24"/>
          <w:szCs w:val="24"/>
        </w:rPr>
        <w:t xml:space="preserve"> тысяч</w:t>
      </w:r>
      <w:r w:rsidR="003F10D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 без НДС.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 w:rsidR="00D90CEC">
        <w:rPr>
          <w:rFonts w:ascii="Times New Roman CYR" w:hAnsi="Times New Roman CYR" w:cs="Times New Roman CYR"/>
          <w:sz w:val="24"/>
          <w:szCs w:val="24"/>
        </w:rPr>
        <w:t>нет</w:t>
      </w: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2F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 w:rsidR="00D90CEC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32F6">
        <w:rPr>
          <w:rFonts w:ascii="Times New Roman" w:hAnsi="Times New Roman"/>
          <w:bCs/>
          <w:color w:val="000000"/>
          <w:sz w:val="24"/>
          <w:szCs w:val="24"/>
        </w:rPr>
        <w:t>ся в связи с отсутствием заявок.</w:t>
      </w:r>
      <w:r w:rsidR="009B32F6"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A59A2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0A59A2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 w:rsidR="00B95D04">
        <w:rPr>
          <w:rFonts w:ascii="Times New Roman" w:hAnsi="Times New Roman"/>
          <w:bCs/>
          <w:sz w:val="24"/>
          <w:szCs w:val="24"/>
        </w:rPr>
        <w:t>5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41BB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59A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F41BB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B335B">
        <w:rPr>
          <w:rFonts w:ascii="Times New Roman" w:hAnsi="Times New Roman"/>
          <w:bCs/>
          <w:color w:val="000000"/>
          <w:sz w:val="24"/>
          <w:szCs w:val="24"/>
        </w:rPr>
        <w:t>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 w:rsidR="009B335B"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0FB" w:rsidRDefault="003220FB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0FB" w:rsidRDefault="003220FB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569F8" w:rsidRPr="003122AB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59A2" w:rsidRPr="009A66C8" w:rsidRDefault="000A59A2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335B" w:rsidRDefault="009B335B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lastRenderedPageBreak/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569F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</w:t>
      </w:r>
      <w:r w:rsidRPr="009A66C8">
        <w:rPr>
          <w:rFonts w:ascii="Times New Roman" w:hAnsi="Times New Roman"/>
          <w:sz w:val="24"/>
          <w:szCs w:val="24"/>
        </w:rPr>
        <w:lastRenderedPageBreak/>
        <w:t>учетом особенностей, установленных регламентом электронной площадки http://utp.sberbank-ast.ru.</w:t>
      </w:r>
    </w:p>
    <w:p w:rsidR="00C569F8" w:rsidRPr="003122AB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10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569F8" w:rsidRDefault="00C569F8" w:rsidP="00C569F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569F8" w:rsidRPr="009A66C8" w:rsidRDefault="00C569F8" w:rsidP="00C569F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1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2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 xml:space="preserve">, с условиями типового договора купли-продажи. Для этого необходимо обратиться в управление имущественных отношений Администрации города </w:t>
      </w:r>
      <w:r w:rsidRPr="009A66C8">
        <w:rPr>
          <w:rFonts w:ascii="Times New Roman" w:hAnsi="Times New Roman"/>
          <w:sz w:val="24"/>
          <w:szCs w:val="24"/>
        </w:rPr>
        <w:lastRenderedPageBreak/>
        <w:t>Сарапула по адресу: УР, г. Сарапул, Красная Площадь,  8,  каб.206,  тел.  8 (34147) 41890.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C569F8" w:rsidRPr="009A66C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C569F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C569F8" w:rsidRPr="009A66C8" w:rsidRDefault="00C569F8" w:rsidP="00C569F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</w:t>
      </w:r>
      <w:r w:rsidRPr="009A66C8">
        <w:rPr>
          <w:rFonts w:ascii="Times New Roman" w:hAnsi="Times New Roman"/>
          <w:sz w:val="24"/>
          <w:szCs w:val="24"/>
        </w:rPr>
        <w:lastRenderedPageBreak/>
        <w:t>«Интернет».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C569F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0A59A2" w:rsidRDefault="00C569F8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 w:rsidR="0019122B"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 w:rsidR="00F33CA3"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</w:t>
      </w:r>
      <w:r w:rsidRPr="005C5D37">
        <w:rPr>
          <w:rFonts w:ascii="Times New Roman" w:hAnsi="Times New Roman"/>
          <w:sz w:val="24"/>
          <w:szCs w:val="24"/>
        </w:rPr>
        <w:lastRenderedPageBreak/>
        <w:t>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</w:t>
      </w:r>
      <w:r w:rsidR="000A5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лота);</w:t>
      </w:r>
    </w:p>
    <w:p w:rsidR="000A59A2" w:rsidRDefault="000A59A2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569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сделки;</w:t>
      </w:r>
    </w:p>
    <w:p w:rsidR="00C569F8" w:rsidRPr="008F54C8" w:rsidRDefault="000A59A2" w:rsidP="000A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9F8"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="00C569F8"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 w:rsidR="00C569F8"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="00C569F8" w:rsidRPr="005C5D37">
        <w:rPr>
          <w:rFonts w:ascii="Times New Roman" w:hAnsi="Times New Roman"/>
          <w:sz w:val="24"/>
          <w:szCs w:val="24"/>
        </w:rPr>
        <w:t>случаях:</w:t>
      </w:r>
      <w:r w:rsidR="00C569F8"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="00C569F8"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="00C569F8"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="00C569F8" w:rsidRPr="005C5D37">
        <w:rPr>
          <w:rFonts w:ascii="Times New Roman" w:hAnsi="Times New Roman"/>
          <w:sz w:val="24"/>
          <w:szCs w:val="24"/>
        </w:rPr>
        <w:br/>
      </w:r>
      <w:r w:rsidR="00C569F8">
        <w:rPr>
          <w:rFonts w:ascii="Times New Roman" w:hAnsi="Times New Roman"/>
          <w:sz w:val="24"/>
          <w:szCs w:val="24"/>
        </w:rPr>
        <w:t xml:space="preserve">           </w:t>
      </w:r>
      <w:r w:rsidR="00C569F8"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="00C569F8" w:rsidRPr="005C5D37">
        <w:rPr>
          <w:rFonts w:ascii="Times New Roman" w:hAnsi="Times New Roman"/>
          <w:sz w:val="24"/>
          <w:szCs w:val="24"/>
        </w:rPr>
        <w:br/>
      </w:r>
      <w:r w:rsidR="00C569F8">
        <w:rPr>
          <w:rFonts w:ascii="Times New Roman" w:hAnsi="Times New Roman"/>
          <w:sz w:val="24"/>
          <w:szCs w:val="24"/>
        </w:rPr>
        <w:t xml:space="preserve">           </w:t>
      </w:r>
      <w:r w:rsidR="00C569F8"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569F8" w:rsidRPr="009A66C8" w:rsidRDefault="00C569F8" w:rsidP="00C569F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791FD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791FD8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4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42954" w:rsidRDefault="00342954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569F8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880E10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lastRenderedPageBreak/>
        <w:t>Лицевой счет 04133021550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880E10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880E10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C569F8" w:rsidRPr="00C40AB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C569F8" w:rsidRPr="009A66C8" w:rsidRDefault="00C569F8" w:rsidP="00C569F8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7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8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91FD8" w:rsidRDefault="00791FD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810A7" w:rsidRDefault="00F810A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в электронной форме  </w:t>
      </w:r>
    </w:p>
    <w:p w:rsidR="00C569F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>муниципального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 w:rsidR="00791FD8"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C569F8" w:rsidRPr="009A66C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в электронной форме</w:t>
      </w:r>
    </w:p>
    <w:p w:rsidR="00C569F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C569F8" w:rsidRPr="009A66C8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</w:t>
      </w:r>
      <w:r w:rsidR="00791FD8">
        <w:rPr>
          <w:rFonts w:ascii="Times New Roman" w:hAnsi="Times New Roman"/>
          <w:b/>
          <w:sz w:val="24"/>
          <w:szCs w:val="24"/>
        </w:rPr>
        <w:t>20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C569F8" w:rsidRPr="0005562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69F8" w:rsidRPr="00055622" w:rsidRDefault="00C569F8" w:rsidP="00C569F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05562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05562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C569F8" w:rsidRPr="0005562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569F8" w:rsidRPr="00CA0EE2" w:rsidRDefault="00C569F8" w:rsidP="00C569F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общей площадью __ </w:t>
      </w:r>
      <w:proofErr w:type="spellStart"/>
      <w:r w:rsidRPr="00CA0EE2">
        <w:rPr>
          <w:rFonts w:ascii="Times New Roman" w:hAnsi="Times New Roman"/>
          <w:sz w:val="24"/>
          <w:szCs w:val="24"/>
        </w:rPr>
        <w:t>кв.м</w:t>
      </w:r>
      <w:proofErr w:type="spellEnd"/>
      <w:r w:rsidRPr="00CA0EE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 w:rsidRPr="00CA0EE2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</w:t>
      </w:r>
      <w:r w:rsidR="0080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569F8" w:rsidRPr="00CA0EE2" w:rsidRDefault="00C569F8" w:rsidP="00C569F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 w:rsidRPr="00CA0EE2"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C569F8" w:rsidRPr="00CA0EE2" w:rsidRDefault="00C569F8" w:rsidP="00C56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 w:rsidRPr="00CA0EE2"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569F8" w:rsidRPr="00CA0EE2" w:rsidRDefault="00C569F8" w:rsidP="00C5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569F8" w:rsidRPr="00CA0EE2" w:rsidRDefault="00C569F8" w:rsidP="00C569F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C569F8" w:rsidRPr="00CA0EE2" w:rsidTr="00C569F8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C569F8" w:rsidRPr="00CA0EE2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C569F8" w:rsidRPr="00CA0EE2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CA0EE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C569F8" w:rsidRPr="00CA0EE2" w:rsidRDefault="00C569F8" w:rsidP="00C569F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недвижимого имущества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569F8" w:rsidRPr="00CA0EE2" w:rsidRDefault="00C569F8" w:rsidP="00C5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 w:rsidR="00791FD8">
        <w:rPr>
          <w:rFonts w:ascii="Times New Roman" w:hAnsi="Times New Roman"/>
          <w:sz w:val="24"/>
          <w:szCs w:val="24"/>
        </w:rPr>
        <w:t>20</w:t>
      </w: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C569F8" w:rsidRPr="00CA0EE2" w:rsidRDefault="00C569F8" w:rsidP="00C569F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 w:rsidR="00791FD8"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C569F8" w:rsidRPr="00CA0EE2" w:rsidRDefault="00C569F8" w:rsidP="00C5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</w:t>
      </w:r>
      <w:proofErr w:type="spellStart"/>
      <w:r w:rsidRPr="00CA0EE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 xml:space="preserve">1.Продавец передает, а Покупатель принимает по настоящему акту муниципальное недвижимое имущество – ___________, назначение:______, общей площадью __ </w:t>
      </w:r>
      <w:proofErr w:type="spellStart"/>
      <w:r w:rsidRPr="00CA0EE2">
        <w:rPr>
          <w:rFonts w:ascii="Times New Roman" w:hAnsi="Times New Roman"/>
          <w:sz w:val="24"/>
          <w:szCs w:val="24"/>
        </w:rPr>
        <w:t>кв.м</w:t>
      </w:r>
      <w:proofErr w:type="spellEnd"/>
      <w:r w:rsidRPr="00CA0EE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C569F8" w:rsidRPr="00CA0EE2" w:rsidRDefault="00C569F8" w:rsidP="00C5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569F8" w:rsidRPr="00CA0EE2" w:rsidTr="00C569F8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9F8" w:rsidRPr="00CA0EE2" w:rsidTr="00C569F8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569F8" w:rsidRPr="00CA0EE2" w:rsidRDefault="00C569F8" w:rsidP="00C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569F8" w:rsidRPr="00CA0EE2" w:rsidRDefault="00C569F8" w:rsidP="00C5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Pr="00CA0EE2" w:rsidRDefault="00C569F8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9F8" w:rsidRPr="009A66C8" w:rsidRDefault="00C569F8" w:rsidP="00C569F8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6C7" w:rsidRDefault="008006C7" w:rsidP="00C569F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9F8" w:rsidRDefault="00C569F8" w:rsidP="00C569F8">
      <w:bookmarkStart w:id="0" w:name="_GoBack"/>
      <w:bookmarkEnd w:id="0"/>
    </w:p>
    <w:p w:rsidR="00C569F8" w:rsidRDefault="00C569F8" w:rsidP="00C569F8"/>
    <w:p w:rsidR="00D01B2B" w:rsidRDefault="00D01B2B" w:rsidP="00D01B2B"/>
    <w:p w:rsidR="00481BA1" w:rsidRDefault="00481BA1"/>
    <w:sectPr w:rsidR="00481BA1" w:rsidSect="007A6C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7"/>
    <w:rsid w:val="0004153F"/>
    <w:rsid w:val="000A59A2"/>
    <w:rsid w:val="00175BDC"/>
    <w:rsid w:val="0019122B"/>
    <w:rsid w:val="001A0846"/>
    <w:rsid w:val="00217D8B"/>
    <w:rsid w:val="002B5E8B"/>
    <w:rsid w:val="002F2A0E"/>
    <w:rsid w:val="003220FB"/>
    <w:rsid w:val="00342954"/>
    <w:rsid w:val="00386E32"/>
    <w:rsid w:val="003F10D5"/>
    <w:rsid w:val="004328EF"/>
    <w:rsid w:val="00443827"/>
    <w:rsid w:val="00447AD3"/>
    <w:rsid w:val="00481BA1"/>
    <w:rsid w:val="004A7D42"/>
    <w:rsid w:val="005170FE"/>
    <w:rsid w:val="005F63CF"/>
    <w:rsid w:val="0064624D"/>
    <w:rsid w:val="00652344"/>
    <w:rsid w:val="00655ADA"/>
    <w:rsid w:val="00761407"/>
    <w:rsid w:val="00791FD8"/>
    <w:rsid w:val="007A6C05"/>
    <w:rsid w:val="007E2778"/>
    <w:rsid w:val="007E38EC"/>
    <w:rsid w:val="008006C7"/>
    <w:rsid w:val="00843C73"/>
    <w:rsid w:val="008F41BB"/>
    <w:rsid w:val="009A772F"/>
    <w:rsid w:val="009B32F6"/>
    <w:rsid w:val="009B335B"/>
    <w:rsid w:val="00A37712"/>
    <w:rsid w:val="00A91F1C"/>
    <w:rsid w:val="00AE4119"/>
    <w:rsid w:val="00B036BD"/>
    <w:rsid w:val="00B666AA"/>
    <w:rsid w:val="00B95D04"/>
    <w:rsid w:val="00C569F8"/>
    <w:rsid w:val="00CD7324"/>
    <w:rsid w:val="00D01B2B"/>
    <w:rsid w:val="00D15769"/>
    <w:rsid w:val="00D90CEC"/>
    <w:rsid w:val="00D97A6A"/>
    <w:rsid w:val="00DF3AB2"/>
    <w:rsid w:val="00E97382"/>
    <w:rsid w:val="00F33CA3"/>
    <w:rsid w:val="00F72072"/>
    <w:rsid w:val="00F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971A-74A9-4467-B706-CE3B24C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2</cp:revision>
  <cp:lastPrinted>2019-07-23T07:15:00Z</cp:lastPrinted>
  <dcterms:created xsi:type="dcterms:W3CDTF">2020-02-11T09:21:00Z</dcterms:created>
  <dcterms:modified xsi:type="dcterms:W3CDTF">2020-02-11T09:21:00Z</dcterms:modified>
</cp:coreProperties>
</file>