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sidR="00F8559B">
        <w:rPr>
          <w:rFonts w:ascii="Times New Roman" w:eastAsia="Times New Roman" w:hAnsi="Times New Roman" w:cs="Times New Roman"/>
          <w:b/>
          <w:bCs/>
          <w:color w:val="000000"/>
          <w:lang w:eastAsia="ru-RU"/>
        </w:rPr>
        <w:t>16</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8559B"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827</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F8559B">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w:t>
            </w:r>
            <w:r w:rsidR="00F8559B">
              <w:rPr>
                <w:rFonts w:ascii="Times New Roman" w:eastAsia="Times New Roman" w:hAnsi="Times New Roman" w:cs="Times New Roman"/>
                <w:sz w:val="16"/>
                <w:szCs w:val="16"/>
                <w:lang w:eastAsia="ru-RU"/>
              </w:rPr>
              <w:t>216</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F8559B" w:rsidP="00F8559B">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49 020</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Сорок</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6C0E21">
              <w:rPr>
                <w:rFonts w:ascii="Times New Roman" w:eastAsia="Times New Roman" w:hAnsi="Times New Roman" w:cs="Times New Roman"/>
                <w:bCs/>
                <w:sz w:val="16"/>
                <w:szCs w:val="16"/>
                <w:lang w:eastAsia="ru-RU"/>
              </w:rPr>
              <w:t>девять</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двадцать</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Pr>
                <w:rFonts w:ascii="Times New Roman" w:eastAsia="Times New Roman" w:hAnsi="Times New Roman" w:cs="Times New Roman"/>
                <w:bCs/>
                <w:sz w:val="16"/>
                <w:szCs w:val="16"/>
                <w:lang w:eastAsia="ru-RU"/>
              </w:rPr>
              <w:t>17</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8559B" w:rsidP="00F8559B">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9 804</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Девять</w:t>
            </w:r>
            <w:r w:rsidR="00C52081" w:rsidRPr="000174DB">
              <w:rPr>
                <w:rFonts w:ascii="Times New Roman" w:eastAsia="Times New Roman" w:hAnsi="Times New Roman" w:cs="Times New Roman"/>
                <w:sz w:val="16"/>
                <w:szCs w:val="16"/>
                <w:lang w:eastAsia="ru-RU"/>
              </w:rPr>
              <w:t xml:space="preserve"> тысяч </w:t>
            </w:r>
            <w:r w:rsidR="006C0E21">
              <w:rPr>
                <w:rFonts w:ascii="Times New Roman" w:eastAsia="Times New Roman" w:hAnsi="Times New Roman" w:cs="Times New Roman"/>
                <w:sz w:val="16"/>
                <w:szCs w:val="16"/>
                <w:lang w:eastAsia="ru-RU"/>
              </w:rPr>
              <w:t>восемьсот</w:t>
            </w:r>
            <w:r w:rsidR="00994BF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четыре</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6C0E21">
              <w:rPr>
                <w:rFonts w:ascii="Times New Roman" w:eastAsia="Times New Roman" w:hAnsi="Times New Roman" w:cs="Times New Roman"/>
                <w:sz w:val="16"/>
                <w:szCs w:val="16"/>
                <w:lang w:eastAsia="ru-RU"/>
              </w:rPr>
              <w:t>ей 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6C0E21" w:rsidP="00F8559B">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1 </w:t>
            </w:r>
            <w:r w:rsidR="00F8559B">
              <w:rPr>
                <w:rFonts w:ascii="Times New Roman" w:eastAsia="Times New Roman" w:hAnsi="Times New Roman" w:cs="Times New Roman"/>
                <w:bCs/>
                <w:color w:val="000000"/>
                <w:sz w:val="16"/>
                <w:szCs w:val="16"/>
                <w:lang w:eastAsia="ru-RU"/>
              </w:rPr>
              <w:t>470</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F8559B">
              <w:rPr>
                <w:rFonts w:ascii="Times New Roman" w:eastAsia="Times New Roman" w:hAnsi="Times New Roman" w:cs="Times New Roman"/>
                <w:bCs/>
                <w:color w:val="000000"/>
                <w:sz w:val="16"/>
                <w:szCs w:val="16"/>
                <w:lang w:eastAsia="ru-RU"/>
              </w:rPr>
              <w:t>четыреста</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семьдесят</w:t>
            </w:r>
            <w:r w:rsidR="008652AC" w:rsidRPr="000174DB">
              <w:rPr>
                <w:rFonts w:ascii="Times New Roman" w:eastAsia="Times New Roman" w:hAnsi="Times New Roman" w:cs="Times New Roman"/>
                <w:bCs/>
                <w:color w:val="000000"/>
                <w:sz w:val="16"/>
                <w:szCs w:val="16"/>
                <w:lang w:eastAsia="ru-RU"/>
              </w:rPr>
              <w:t xml:space="preserve">)  рублей </w:t>
            </w:r>
            <w:r w:rsidR="00F8559B">
              <w:rPr>
                <w:rFonts w:ascii="Times New Roman" w:eastAsia="Times New Roman" w:hAnsi="Times New Roman" w:cs="Times New Roman"/>
                <w:bCs/>
                <w:color w:val="000000"/>
                <w:sz w:val="16"/>
                <w:szCs w:val="16"/>
                <w:lang w:eastAsia="ru-RU"/>
              </w:rPr>
              <w:t>6</w:t>
            </w:r>
            <w:r>
              <w:rPr>
                <w:rFonts w:ascii="Times New Roman" w:eastAsia="Times New Roman" w:hAnsi="Times New Roman" w:cs="Times New Roman"/>
                <w:bCs/>
                <w:color w:val="000000"/>
                <w:sz w:val="16"/>
                <w:szCs w:val="16"/>
                <w:lang w:eastAsia="ru-RU"/>
              </w:rPr>
              <w:t>0</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667052">
              <w:rPr>
                <w:rFonts w:ascii="Times New Roman" w:eastAsia="Times New Roman" w:hAnsi="Times New Roman" w:cs="Times New Roman"/>
                <w:sz w:val="16"/>
                <w:szCs w:val="16"/>
                <w:lang w:eastAsia="ru-RU"/>
              </w:rPr>
              <w:t>01.07.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667052">
              <w:rPr>
                <w:rFonts w:ascii="Times New Roman" w:eastAsia="Times New Roman" w:hAnsi="Times New Roman" w:cs="Times New Roman"/>
                <w:sz w:val="16"/>
                <w:szCs w:val="16"/>
                <w:lang w:eastAsia="ru-RU"/>
              </w:rPr>
              <w:t>0</w:t>
            </w:r>
            <w:r w:rsidR="0024250E">
              <w:rPr>
                <w:rFonts w:ascii="Times New Roman" w:eastAsia="Times New Roman" w:hAnsi="Times New Roman" w:cs="Times New Roman"/>
                <w:sz w:val="16"/>
                <w:szCs w:val="16"/>
                <w:lang w:eastAsia="ru-RU"/>
              </w:rPr>
              <w:t>1</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24250E"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6C0E21">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F8559B"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C0E21">
        <w:rPr>
          <w:rFonts w:ascii="Times New Roman" w:eastAsia="Times New Roman" w:hAnsi="Times New Roman" w:cs="Times New Roman"/>
          <w:lang w:eastAsia="ru-RU"/>
        </w:rPr>
        <w:t>3,2</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w:t>
      </w:r>
      <w:r w:rsidR="009E75B8">
        <w:rPr>
          <w:rFonts w:ascii="Times New Roman" w:eastAsia="Times New Roman" w:hAnsi="Times New Roman" w:cs="Times New Roman"/>
          <w:lang w:eastAsia="ru-RU"/>
        </w:rPr>
        <w:t>16</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614100">
        <w:rPr>
          <w:rFonts w:ascii="Times New Roman" w:eastAsia="Times New Roman" w:hAnsi="Times New Roman" w:cs="Times New Roman"/>
          <w:color w:val="000000"/>
          <w:lang w:eastAsia="ru-RU"/>
        </w:rPr>
        <w:t>01.07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614100">
        <w:rPr>
          <w:rFonts w:ascii="Times New Roman" w:eastAsia="Times New Roman" w:hAnsi="Times New Roman" w:cs="Times New Roman"/>
          <w:color w:val="000000"/>
          <w:lang w:eastAsia="ru-RU"/>
        </w:rPr>
        <w:t>01.08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614100">
        <w:rPr>
          <w:rFonts w:ascii="Times New Roman" w:eastAsia="Times New Roman" w:hAnsi="Times New Roman" w:cs="Times New Roman"/>
          <w:b/>
          <w:color w:val="000000"/>
          <w:lang w:eastAsia="ru-RU"/>
        </w:rPr>
        <w:t>03.08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lastRenderedPageBreak/>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sidR="009E75B8">
        <w:rPr>
          <w:rFonts w:ascii="Times New Roman" w:eastAsia="Times New Roman" w:hAnsi="Times New Roman" w:cs="Times New Roman"/>
          <w:sz w:val="18"/>
          <w:szCs w:val="18"/>
          <w:lang w:eastAsia="ru-RU"/>
        </w:rPr>
        <w:t>16</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9E75B8">
        <w:rPr>
          <w:rFonts w:ascii="Times New Roman" w:eastAsia="Times New Roman" w:hAnsi="Times New Roman" w:cs="Times New Roman"/>
          <w:sz w:val="18"/>
          <w:szCs w:val="18"/>
          <w:lang w:eastAsia="ru-RU"/>
        </w:rPr>
        <w:t>827</w:t>
      </w:r>
      <w:r w:rsidR="0090249C">
        <w:rPr>
          <w:rFonts w:ascii="Times New Roman" w:eastAsia="Times New Roman" w:hAnsi="Times New Roman" w:cs="Times New Roman"/>
          <w:sz w:val="18"/>
          <w:szCs w:val="18"/>
          <w:lang w:eastAsia="ru-RU"/>
        </w:rPr>
        <w:t xml:space="preserve"> кв.м., кадастровый номер </w:t>
      </w:r>
      <w:r w:rsidR="0090249C" w:rsidRPr="0090249C">
        <w:rPr>
          <w:rFonts w:ascii="Times New Roman" w:eastAsia="Times New Roman" w:hAnsi="Times New Roman" w:cs="Times New Roman"/>
          <w:sz w:val="18"/>
          <w:szCs w:val="18"/>
          <w:lang w:eastAsia="ru-RU"/>
        </w:rPr>
        <w:t>18:30:000850:2</w:t>
      </w:r>
      <w:r w:rsidR="009E75B8">
        <w:rPr>
          <w:rFonts w:ascii="Times New Roman" w:eastAsia="Times New Roman" w:hAnsi="Times New Roman" w:cs="Times New Roman"/>
          <w:sz w:val="18"/>
          <w:szCs w:val="18"/>
          <w:lang w:eastAsia="ru-RU"/>
        </w:rPr>
        <w:t>16</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lastRenderedPageBreak/>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9E75B8">
        <w:rPr>
          <w:rFonts w:ascii="Times New Roman" w:eastAsia="Times New Roman" w:hAnsi="Times New Roman" w:cs="Times New Roman"/>
          <w:lang w:eastAsia="ru-RU"/>
        </w:rPr>
        <w:t xml:space="preserve">827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9E75B8">
        <w:rPr>
          <w:rFonts w:ascii="Times New Roman" w:eastAsia="Times New Roman" w:hAnsi="Times New Roman" w:cs="Times New Roman"/>
          <w:lang w:eastAsia="ru-RU"/>
        </w:rPr>
        <w:t>16</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2C7BDB"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2C7BDB"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2C7BDB"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9E75B8">
        <w:rPr>
          <w:rFonts w:ascii="Times New Roman" w:eastAsia="Times New Roman" w:hAnsi="Times New Roman" w:cs="Times New Roman"/>
          <w:lang w:eastAsia="ru-RU"/>
        </w:rPr>
        <w:t>827</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9E75B8">
        <w:rPr>
          <w:rFonts w:ascii="Times New Roman" w:eastAsia="Times New Roman" w:hAnsi="Times New Roman" w:cs="Times New Roman"/>
          <w:lang w:eastAsia="ru-RU"/>
        </w:rPr>
        <w:t>16</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E75B8">
        <w:rPr>
          <w:rFonts w:ascii="Times New Roman" w:eastAsia="Times New Roman" w:hAnsi="Times New Roman" w:cs="Times New Roman"/>
          <w:lang w:eastAsia="ru-RU"/>
        </w:rPr>
        <w:t>216</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spacing w:after="0" w:line="240" w:lineRule="auto"/>
        <w:ind w:rightChars="-10" w:right="-22" w:firstLineChars="200" w:firstLine="480"/>
        <w:jc w:val="both"/>
        <w:rPr>
          <w:rFonts w:ascii="Calibri" w:eastAsia="Times New Roman" w:hAnsi="Calibri" w:cs="Times New Roman"/>
          <w:sz w:val="24"/>
          <w:szCs w:val="24"/>
          <w:lang w:eastAsia="ru-RU"/>
        </w:rPr>
      </w:pPr>
      <w:bookmarkStart w:id="3" w:name="_GoBack"/>
      <w:bookmarkEnd w:id="3"/>
    </w:p>
    <w:p w:rsidR="001C482A" w:rsidRPr="001C482A" w:rsidRDefault="001C482A" w:rsidP="0015039E">
      <w:pPr>
        <w:ind w:rightChars="-10" w:right="-22"/>
        <w:rPr>
          <w:rFonts w:eastAsia="Times New Roman" w:cs="Times New Roman"/>
        </w:rPr>
      </w:pPr>
    </w:p>
    <w:p w:rsidR="001C482A" w:rsidRPr="001C482A" w:rsidRDefault="001C482A" w:rsidP="0015039E">
      <w:pPr>
        <w:ind w:rightChars="-10" w:right="-22"/>
        <w:rPr>
          <w:rFonts w:eastAsia="Times New Roman" w:cs="Times New Roman"/>
        </w:rPr>
      </w:pPr>
    </w:p>
    <w:p w:rsidR="00CC0757" w:rsidRDefault="00CC0757" w:rsidP="0015039E">
      <w:pPr>
        <w:tabs>
          <w:tab w:val="center" w:pos="0"/>
          <w:tab w:val="left" w:pos="5841"/>
        </w:tabs>
        <w:spacing w:after="0" w:line="240" w:lineRule="auto"/>
        <w:ind w:rightChars="-10" w:right="-22"/>
        <w:jc w:val="both"/>
      </w:pPr>
    </w:p>
    <w:sectPr w:rsidR="00CC0757"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AE" w:rsidRDefault="005331AE" w:rsidP="00CA3555">
      <w:pPr>
        <w:spacing w:after="0" w:line="240" w:lineRule="auto"/>
      </w:pPr>
      <w:r>
        <w:separator/>
      </w:r>
    </w:p>
  </w:endnote>
  <w:endnote w:type="continuationSeparator" w:id="0">
    <w:p w:rsidR="005331AE" w:rsidRDefault="005331AE"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AE" w:rsidRDefault="005331AE" w:rsidP="00CA3555">
      <w:pPr>
        <w:spacing w:after="0" w:line="240" w:lineRule="auto"/>
      </w:pPr>
      <w:r>
        <w:separator/>
      </w:r>
    </w:p>
  </w:footnote>
  <w:footnote w:type="continuationSeparator" w:id="0">
    <w:p w:rsidR="005331AE" w:rsidRDefault="005331AE"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C7BDB"/>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7052"/>
    <w:rsid w:val="0067578A"/>
    <w:rsid w:val="006B27E5"/>
    <w:rsid w:val="006C0E21"/>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E75B8"/>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29DB"/>
    <w:rsid w:val="00B607A2"/>
    <w:rsid w:val="00B87D7E"/>
    <w:rsid w:val="00C03237"/>
    <w:rsid w:val="00C05B18"/>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8559B"/>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1CC4-615E-4B28-B56F-8080CB5B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14</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279</cp:revision>
  <cp:lastPrinted>2022-06-08T09:07:00Z</cp:lastPrinted>
  <dcterms:created xsi:type="dcterms:W3CDTF">2022-03-22T10:26:00Z</dcterms:created>
  <dcterms:modified xsi:type="dcterms:W3CDTF">2022-06-30T07:27:00Z</dcterms:modified>
</cp:coreProperties>
</file>