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FE737F" w:rsidRPr="00FE737F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b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844AFF">
        <w:rPr>
          <w:rFonts w:ascii="Times New Roman" w:hAnsi="Times New Roman"/>
          <w:b/>
          <w:sz w:val="28"/>
          <w:szCs w:val="28"/>
        </w:rPr>
        <w:t>а 202</w:t>
      </w:r>
      <w:r w:rsidR="00844AFF" w:rsidRPr="00844AFF">
        <w:rPr>
          <w:rFonts w:ascii="Times New Roman" w:hAnsi="Times New Roman"/>
          <w:b/>
          <w:sz w:val="28"/>
          <w:szCs w:val="28"/>
        </w:rPr>
        <w:t>2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164E9" w:rsidRPr="002936BB" w:rsidRDefault="00A164E9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75E7" w:rsidRDefault="007C5751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AA4"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 w:rsidRPr="00DD3AA4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FE737F" w:rsidRPr="00FE737F">
        <w:rPr>
          <w:rFonts w:ascii="Times New Roman" w:hAnsi="Times New Roman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E45A29" w:rsidRPr="00DD3AA4">
        <w:rPr>
          <w:rFonts w:ascii="Times New Roman" w:hAnsi="Times New Roman"/>
          <w:sz w:val="28"/>
          <w:szCs w:val="28"/>
        </w:rPr>
        <w:t xml:space="preserve">на территории </w:t>
      </w:r>
      <w:r w:rsidR="00637456" w:rsidRPr="00DD3AA4">
        <w:rPr>
          <w:rFonts w:ascii="Times New Roman" w:hAnsi="Times New Roman"/>
          <w:sz w:val="28"/>
          <w:szCs w:val="28"/>
        </w:rPr>
        <w:t>города Сарапула</w:t>
      </w:r>
      <w:r w:rsidRPr="00DD3AA4">
        <w:rPr>
          <w:rFonts w:ascii="Times New Roman" w:hAnsi="Times New Roman"/>
          <w:sz w:val="28"/>
          <w:szCs w:val="28"/>
        </w:rPr>
        <w:t xml:space="preserve"> за 202</w:t>
      </w:r>
      <w:r w:rsidR="00844AFF" w:rsidRPr="00844AFF">
        <w:rPr>
          <w:rFonts w:ascii="Times New Roman" w:hAnsi="Times New Roman"/>
          <w:sz w:val="28"/>
          <w:szCs w:val="28"/>
        </w:rPr>
        <w:t>2</w:t>
      </w:r>
      <w:r w:rsidRPr="00DD3AA4">
        <w:rPr>
          <w:rFonts w:ascii="Times New Roman" w:hAnsi="Times New Roman"/>
          <w:sz w:val="28"/>
          <w:szCs w:val="28"/>
        </w:rPr>
        <w:t xml:space="preserve"> год</w:t>
      </w:r>
      <w:r w:rsidR="00532323" w:rsidRPr="00DD3AA4">
        <w:rPr>
          <w:rFonts w:ascii="Times New Roman" w:hAnsi="Times New Roman"/>
          <w:sz w:val="28"/>
          <w:szCs w:val="28"/>
        </w:rPr>
        <w:t>,</w:t>
      </w:r>
      <w:r w:rsidR="00142BD2" w:rsidRPr="00DD3AA4">
        <w:rPr>
          <w:rFonts w:ascii="Times New Roman" w:hAnsi="Times New Roman"/>
          <w:sz w:val="28"/>
          <w:szCs w:val="28"/>
        </w:rPr>
        <w:t xml:space="preserve"> подготовлен </w:t>
      </w:r>
      <w:r w:rsidR="00637456" w:rsidRPr="00DD3AA4">
        <w:rPr>
          <w:rFonts w:ascii="Times New Roman" w:hAnsi="Times New Roman"/>
          <w:sz w:val="28"/>
          <w:szCs w:val="28"/>
        </w:rPr>
        <w:t>управлением жилищно</w:t>
      </w:r>
      <w:r w:rsidR="00E45A29" w:rsidRPr="00DD3AA4">
        <w:rPr>
          <w:rFonts w:ascii="Times New Roman" w:hAnsi="Times New Roman"/>
          <w:sz w:val="28"/>
          <w:szCs w:val="28"/>
        </w:rPr>
        <w:t>-</w:t>
      </w:r>
      <w:r w:rsidR="00637456" w:rsidRPr="00DD3AA4">
        <w:rPr>
          <w:rFonts w:ascii="Times New Roman" w:hAnsi="Times New Roman"/>
          <w:sz w:val="28"/>
          <w:szCs w:val="28"/>
        </w:rPr>
        <w:t>коммунального хозяйства Администрации города Сарапула</w:t>
      </w:r>
      <w:r w:rsidR="005316C6" w:rsidRPr="00DD3AA4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DD3AA4">
        <w:rPr>
          <w:rFonts w:ascii="Times New Roman" w:hAnsi="Times New Roman"/>
          <w:sz w:val="28"/>
          <w:szCs w:val="28"/>
        </w:rPr>
        <w:t>статьи 47 Федерального закона от 31.07.2020</w:t>
      </w:r>
      <w:r w:rsidR="001D4196" w:rsidRPr="00DD3AA4">
        <w:rPr>
          <w:rFonts w:ascii="Times New Roman" w:hAnsi="Times New Roman"/>
          <w:sz w:val="28"/>
          <w:szCs w:val="28"/>
        </w:rPr>
        <w:t xml:space="preserve"> г. №</w:t>
      </w:r>
      <w:r w:rsidR="00007D21" w:rsidRPr="00DD3AA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</w:t>
      </w:r>
      <w:r w:rsidR="00213623">
        <w:rPr>
          <w:rFonts w:ascii="Times New Roman" w:hAnsi="Times New Roman"/>
          <w:sz w:val="28"/>
          <w:szCs w:val="28"/>
        </w:rPr>
        <w:t xml:space="preserve">нтроле в Российской Федерации», Закона </w:t>
      </w:r>
      <w:r w:rsidR="00213623" w:rsidRPr="00213623">
        <w:rPr>
          <w:rFonts w:ascii="Times New Roman" w:hAnsi="Times New Roman"/>
          <w:sz w:val="28"/>
          <w:szCs w:val="28"/>
        </w:rPr>
        <w:t>Удмуртской Республики от 30.06.2014 № 40-РЗ</w:t>
      </w:r>
      <w:proofErr w:type="gramEnd"/>
      <w:r w:rsidR="00213623" w:rsidRPr="00213623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ответственности за о</w:t>
      </w:r>
      <w:r w:rsidR="00213623">
        <w:rPr>
          <w:rFonts w:ascii="Times New Roman" w:hAnsi="Times New Roman"/>
          <w:sz w:val="28"/>
          <w:szCs w:val="28"/>
        </w:rPr>
        <w:t xml:space="preserve">тдельные виды правонарушений», а также </w:t>
      </w:r>
      <w:r w:rsidR="00213623" w:rsidRPr="00213623">
        <w:rPr>
          <w:rFonts w:ascii="Times New Roman" w:hAnsi="Times New Roman"/>
          <w:sz w:val="28"/>
          <w:szCs w:val="28"/>
        </w:rPr>
        <w:t>Постановления Правительств</w:t>
      </w:r>
      <w:r w:rsidR="00844AFF">
        <w:rPr>
          <w:rFonts w:ascii="Times New Roman" w:hAnsi="Times New Roman"/>
          <w:sz w:val="28"/>
          <w:szCs w:val="28"/>
        </w:rPr>
        <w:t>а УР от 30 сентября 2021 года №</w:t>
      </w:r>
      <w:r w:rsidR="00213623" w:rsidRPr="00213623">
        <w:rPr>
          <w:rFonts w:ascii="Times New Roman" w:hAnsi="Times New Roman"/>
          <w:sz w:val="28"/>
          <w:szCs w:val="28"/>
        </w:rPr>
        <w:t xml:space="preserve">534 «О региональном государственном лицензионном </w:t>
      </w:r>
      <w:proofErr w:type="gramStart"/>
      <w:r w:rsidR="00213623" w:rsidRPr="0021362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213623" w:rsidRPr="00213623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</w:t>
      </w:r>
      <w:r w:rsidR="00213623">
        <w:rPr>
          <w:rFonts w:ascii="Times New Roman" w:hAnsi="Times New Roman"/>
          <w:sz w:val="28"/>
          <w:szCs w:val="28"/>
        </w:rPr>
        <w:t>влению многоквартирными домами».</w:t>
      </w:r>
    </w:p>
    <w:p w:rsidR="00213623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1) обеспечение единообразных подходов к применению </w:t>
      </w:r>
      <w:r w:rsidR="00996F73">
        <w:rPr>
          <w:rFonts w:ascii="Times New Roman" w:hAnsi="Times New Roman"/>
          <w:sz w:val="28"/>
          <w:szCs w:val="28"/>
        </w:rPr>
        <w:t xml:space="preserve">Администрацией города Сарапула и её </w:t>
      </w:r>
      <w:r w:rsidRPr="006375E7">
        <w:rPr>
          <w:rFonts w:ascii="Times New Roman" w:hAnsi="Times New Roman"/>
          <w:sz w:val="28"/>
          <w:szCs w:val="28"/>
        </w:rPr>
        <w:t xml:space="preserve">должностными лицами обязательных требований, законодательства Российской Федерации о государственном контроле (надзоре);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 xml:space="preserve">4) подготовка предложений об актуализации обязательных требований; </w:t>
      </w:r>
    </w:p>
    <w:p w:rsidR="006375E7" w:rsidRDefault="006375E7" w:rsidP="006375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E7">
        <w:rPr>
          <w:rFonts w:ascii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13623" w:rsidRDefault="00213623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Изменения законодательства, регламентирующего осуществление </w:t>
      </w:r>
      <w:r w:rsidR="00210163" w:rsidRPr="002101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A164E9" w:rsidRPr="00A164E9" w:rsidRDefault="00A164E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4196">
        <w:rPr>
          <w:rFonts w:ascii="Times New Roman" w:hAnsi="Times New Roman"/>
          <w:sz w:val="28"/>
          <w:szCs w:val="28"/>
        </w:rPr>
        <w:t>248-ФЗ «</w:t>
      </w:r>
      <w:r w:rsidRPr="00AB07E8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D4196">
        <w:rPr>
          <w:rFonts w:ascii="Times New Roman" w:hAnsi="Times New Roman"/>
          <w:sz w:val="28"/>
          <w:szCs w:val="28"/>
        </w:rPr>
        <w:t>контроле в Российской Федерации» (далее – Федеральный закон №</w:t>
      </w:r>
      <w:r w:rsidR="00F7098F">
        <w:rPr>
          <w:rFonts w:ascii="Times New Roman" w:hAnsi="Times New Roman"/>
          <w:sz w:val="28"/>
          <w:szCs w:val="28"/>
        </w:rPr>
        <w:t>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1D4196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</w:t>
      </w:r>
      <w:r w:rsidR="00BE7649" w:rsidRPr="00AB07E8">
        <w:rPr>
          <w:rFonts w:ascii="Times New Roman" w:hAnsi="Times New Roman"/>
          <w:sz w:val="28"/>
          <w:szCs w:val="28"/>
        </w:rPr>
        <w:t>248-ФЗ урегулированы отношения, связанные с организацией и осуществлением государственного контроля (надзора),</w:t>
      </w:r>
      <w:r w:rsidR="00011355">
        <w:rPr>
          <w:rFonts w:ascii="Times New Roman" w:hAnsi="Times New Roman"/>
          <w:sz w:val="28"/>
          <w:szCs w:val="28"/>
        </w:rPr>
        <w:t xml:space="preserve"> в том числе,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>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 w:rsidR="001D4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Федеральном законе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</w:t>
      </w:r>
      <w:r w:rsidR="00FE737F" w:rsidRP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FE737F" w:rsidRP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A164E9" w:rsidRDefault="00A164E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210163" w:rsidRPr="00210163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210163" w:rsidRPr="0021016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10163" w:rsidRPr="00210163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BE7649" w:rsidRPr="00997466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844AFF">
        <w:rPr>
          <w:rFonts w:ascii="Times New Roman" w:hAnsi="Times New Roman"/>
          <w:sz w:val="28"/>
          <w:szCs w:val="28"/>
        </w:rPr>
        <w:t xml:space="preserve"> (надзорных) мероприятий на 202</w:t>
      </w:r>
      <w:r w:rsidR="00844AFF" w:rsidRPr="00844AFF">
        <w:rPr>
          <w:rFonts w:ascii="Times New Roman" w:hAnsi="Times New Roman"/>
          <w:sz w:val="28"/>
          <w:szCs w:val="28"/>
        </w:rPr>
        <w:t>2</w:t>
      </w:r>
      <w:r w:rsidR="00875B5E">
        <w:rPr>
          <w:rFonts w:ascii="Times New Roman" w:hAnsi="Times New Roman"/>
          <w:sz w:val="28"/>
          <w:szCs w:val="28"/>
        </w:rPr>
        <w:t xml:space="preserve"> год</w:t>
      </w:r>
      <w:r w:rsidR="00875B5E" w:rsidRPr="00875B5E">
        <w:rPr>
          <w:rFonts w:ascii="Times New Roman" w:hAnsi="Times New Roman"/>
          <w:sz w:val="28"/>
          <w:szCs w:val="28"/>
        </w:rPr>
        <w:t xml:space="preserve"> </w:t>
      </w:r>
      <w:r w:rsidR="00844AFF">
        <w:rPr>
          <w:rFonts w:ascii="Times New Roman" w:hAnsi="Times New Roman"/>
          <w:sz w:val="28"/>
          <w:szCs w:val="28"/>
        </w:rPr>
        <w:t xml:space="preserve">не </w:t>
      </w:r>
      <w:r w:rsidR="006308FE">
        <w:rPr>
          <w:rFonts w:ascii="Times New Roman" w:hAnsi="Times New Roman"/>
          <w:sz w:val="28"/>
          <w:szCs w:val="28"/>
        </w:rPr>
        <w:t>формировался</w:t>
      </w:r>
      <w:r w:rsidR="00844AFF">
        <w:rPr>
          <w:rFonts w:ascii="Times New Roman" w:hAnsi="Times New Roman"/>
          <w:sz w:val="28"/>
          <w:szCs w:val="28"/>
        </w:rPr>
        <w:t xml:space="preserve">. </w:t>
      </w:r>
      <w:r w:rsidR="00875B5E">
        <w:rPr>
          <w:rFonts w:ascii="Times New Roman" w:hAnsi="Times New Roman"/>
          <w:sz w:val="28"/>
          <w:szCs w:val="28"/>
        </w:rPr>
        <w:t>П</w:t>
      </w:r>
      <w:r w:rsidR="00BE7649" w:rsidRPr="00BE7649">
        <w:rPr>
          <w:rFonts w:ascii="Times New Roman" w:hAnsi="Times New Roman"/>
          <w:sz w:val="28"/>
          <w:szCs w:val="28"/>
        </w:rPr>
        <w:t xml:space="preserve">лановые </w:t>
      </w:r>
      <w:r w:rsidR="00844AFF" w:rsidRPr="00BE7649">
        <w:rPr>
          <w:rFonts w:ascii="Times New Roman" w:hAnsi="Times New Roman"/>
          <w:sz w:val="28"/>
          <w:szCs w:val="28"/>
        </w:rPr>
        <w:t>контрольные (надзорные) м</w:t>
      </w:r>
      <w:r w:rsidR="00844AFF">
        <w:rPr>
          <w:rFonts w:ascii="Times New Roman" w:hAnsi="Times New Roman"/>
          <w:sz w:val="28"/>
          <w:szCs w:val="28"/>
        </w:rPr>
        <w:t xml:space="preserve">ероприятия в 2022 году не проводились. В 2022 году было проведено </w:t>
      </w:r>
      <w:r w:rsidR="00E80E6D">
        <w:rPr>
          <w:rFonts w:ascii="Times New Roman" w:hAnsi="Times New Roman"/>
          <w:sz w:val="28"/>
          <w:szCs w:val="28"/>
        </w:rPr>
        <w:t>6</w:t>
      </w:r>
      <w:r w:rsidR="00844AFF">
        <w:rPr>
          <w:rFonts w:ascii="Times New Roman" w:hAnsi="Times New Roman"/>
          <w:sz w:val="28"/>
          <w:szCs w:val="28"/>
        </w:rPr>
        <w:t xml:space="preserve"> внеплановых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844AFF">
        <w:rPr>
          <w:rFonts w:ascii="Times New Roman" w:hAnsi="Times New Roman"/>
          <w:sz w:val="28"/>
          <w:szCs w:val="28"/>
        </w:rPr>
        <w:t>контрольных (надзорных</w:t>
      </w:r>
      <w:r w:rsidR="00BE7649" w:rsidRPr="00BE7649">
        <w:rPr>
          <w:rFonts w:ascii="Times New Roman" w:hAnsi="Times New Roman"/>
          <w:sz w:val="28"/>
          <w:szCs w:val="28"/>
        </w:rPr>
        <w:t>) м</w:t>
      </w:r>
      <w:r w:rsidR="00F7098F">
        <w:rPr>
          <w:rFonts w:ascii="Times New Roman" w:hAnsi="Times New Roman"/>
          <w:sz w:val="28"/>
          <w:szCs w:val="28"/>
        </w:rPr>
        <w:t>еро</w:t>
      </w:r>
      <w:r w:rsidR="00844AFF">
        <w:rPr>
          <w:rFonts w:ascii="Times New Roman" w:hAnsi="Times New Roman"/>
          <w:sz w:val="28"/>
          <w:szCs w:val="28"/>
        </w:rPr>
        <w:t>приятий</w:t>
      </w:r>
      <w:r w:rsidR="00F7098F">
        <w:rPr>
          <w:rFonts w:ascii="Times New Roman" w:hAnsi="Times New Roman"/>
          <w:sz w:val="28"/>
          <w:szCs w:val="28"/>
        </w:rPr>
        <w:t xml:space="preserve"> </w:t>
      </w:r>
      <w:r w:rsidR="00844AFF">
        <w:rPr>
          <w:rFonts w:ascii="Times New Roman" w:hAnsi="Times New Roman"/>
          <w:sz w:val="28"/>
          <w:szCs w:val="28"/>
        </w:rPr>
        <w:t>в 2022 году, из них внеплановая выездная проверка –</w:t>
      </w:r>
      <w:r w:rsidR="00E80E6D">
        <w:rPr>
          <w:rFonts w:ascii="Times New Roman" w:hAnsi="Times New Roman"/>
          <w:sz w:val="28"/>
          <w:szCs w:val="28"/>
        </w:rPr>
        <w:t xml:space="preserve"> 4</w:t>
      </w:r>
      <w:r w:rsidR="00844AFF">
        <w:rPr>
          <w:rFonts w:ascii="Times New Roman" w:hAnsi="Times New Roman"/>
          <w:sz w:val="28"/>
          <w:szCs w:val="28"/>
        </w:rPr>
        <w:t>, внеплановая документарная проверка – 2.</w:t>
      </w:r>
    </w:p>
    <w:p w:rsidR="00D42E80" w:rsidRDefault="00D42E80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A164E9" w:rsidRPr="00BE7649" w:rsidRDefault="00A164E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Default="00844AFF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6A23C5">
        <w:rPr>
          <w:rFonts w:ascii="Times New Roman" w:hAnsi="Times New Roman"/>
          <w:sz w:val="28"/>
          <w:szCs w:val="28"/>
        </w:rPr>
        <w:t xml:space="preserve">контроля </w:t>
      </w:r>
      <w:r w:rsidR="00FE737F" w:rsidRPr="00FE737F">
        <w:rPr>
          <w:rFonts w:ascii="Times New Roman" w:hAnsi="Times New Roman"/>
          <w:sz w:val="28"/>
          <w:szCs w:val="28"/>
        </w:rPr>
        <w:t>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E80E6D">
        <w:rPr>
          <w:rFonts w:ascii="Times New Roman" w:hAnsi="Times New Roman"/>
          <w:sz w:val="28"/>
          <w:szCs w:val="28"/>
        </w:rPr>
        <w:t xml:space="preserve"> контрольные (надзорные) мероприятия</w:t>
      </w:r>
      <w:r w:rsidR="00BE7649" w:rsidRPr="00BE7649">
        <w:rPr>
          <w:rFonts w:ascii="Times New Roman" w:hAnsi="Times New Roman"/>
          <w:sz w:val="28"/>
          <w:szCs w:val="28"/>
        </w:rPr>
        <w:t xml:space="preserve"> без взаимодействия с контролируемыми лицами</w:t>
      </w:r>
      <w:r w:rsidR="00E80E6D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D42E80" w:rsidRDefault="00D42E80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A164E9" w:rsidRPr="00BE7649" w:rsidRDefault="00A164E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Pr="00BE7649" w:rsidRDefault="00844AFF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FE737F" w:rsidRPr="00FE737F">
        <w:rPr>
          <w:rFonts w:ascii="Times New Roman" w:hAnsi="Times New Roman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  <w:proofErr w:type="gramEnd"/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Анализ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A164E9" w:rsidRPr="00BE7649" w:rsidRDefault="00A164E9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FE737F" w:rsidRPr="00FE737F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FE737F" w:rsidRPr="00FE73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737F" w:rsidRPr="00FE737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4A75D6" w:rsidRPr="00997466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D42E80" w:rsidRDefault="00D42E80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A164E9" w:rsidRPr="00BE7649" w:rsidRDefault="00A164E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844AFF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</w:t>
      </w:r>
      <w:r w:rsidR="00E80E6D">
        <w:rPr>
          <w:rFonts w:ascii="Times New Roman" w:hAnsi="Times New Roman"/>
          <w:sz w:val="28"/>
          <w:szCs w:val="28"/>
        </w:rPr>
        <w:t xml:space="preserve">было выдано 2 </w:t>
      </w:r>
      <w:r w:rsidR="00BE7649" w:rsidRPr="00BE7649">
        <w:rPr>
          <w:rFonts w:ascii="Times New Roman" w:hAnsi="Times New Roman"/>
          <w:sz w:val="28"/>
          <w:szCs w:val="28"/>
        </w:rPr>
        <w:t>п</w:t>
      </w:r>
      <w:r w:rsidR="00E80E6D">
        <w:rPr>
          <w:rFonts w:ascii="Times New Roman" w:hAnsi="Times New Roman"/>
          <w:sz w:val="28"/>
          <w:szCs w:val="28"/>
        </w:rPr>
        <w:t>редписания</w:t>
      </w:r>
      <w:r w:rsidR="00BE7649" w:rsidRPr="00BE7649">
        <w:rPr>
          <w:rFonts w:ascii="Times New Roman" w:hAnsi="Times New Roman"/>
          <w:sz w:val="28"/>
          <w:szCs w:val="28"/>
        </w:rPr>
        <w:t xml:space="preserve"> об </w:t>
      </w:r>
      <w:r w:rsidR="00E80E6D">
        <w:rPr>
          <w:rFonts w:ascii="Times New Roman" w:hAnsi="Times New Roman"/>
          <w:sz w:val="28"/>
          <w:szCs w:val="28"/>
        </w:rPr>
        <w:t>устранении выявленных нарушений.</w:t>
      </w:r>
    </w:p>
    <w:p w:rsid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A164E9" w:rsidRPr="00BE7649" w:rsidRDefault="00A164E9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E80E6D" w:rsidP="00D42E80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07BA8" w:rsidRPr="00F07BA8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210163" w:rsidRPr="00210163">
        <w:rPr>
          <w:rFonts w:ascii="Times New Roman" w:hAnsi="Times New Roman"/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210163" w:rsidRPr="0021016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10163" w:rsidRPr="00210163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было проведено 13</w:t>
      </w:r>
      <w:r w:rsidR="001D4196">
        <w:rPr>
          <w:rFonts w:ascii="Times New Roman" w:hAnsi="Times New Roman"/>
          <w:sz w:val="28"/>
          <w:szCs w:val="28"/>
        </w:rPr>
        <w:t xml:space="preserve"> профилактических мероприятия, а именно, были выданы предостережения о недопустимости нарушения обязательных требований.</w:t>
      </w:r>
      <w:r w:rsidR="00FE737F">
        <w:rPr>
          <w:rFonts w:ascii="Times New Roman" w:hAnsi="Times New Roman"/>
          <w:sz w:val="28"/>
          <w:szCs w:val="28"/>
        </w:rPr>
        <w:t xml:space="preserve"> </w:t>
      </w:r>
      <w:r w:rsidR="00EF59D1">
        <w:rPr>
          <w:rFonts w:ascii="Times New Roman" w:hAnsi="Times New Roman"/>
          <w:sz w:val="28"/>
          <w:szCs w:val="28"/>
        </w:rPr>
        <w:t>Данные м</w:t>
      </w:r>
      <w:r w:rsidR="00461146">
        <w:rPr>
          <w:rFonts w:ascii="Times New Roman" w:hAnsi="Times New Roman"/>
          <w:sz w:val="28"/>
          <w:szCs w:val="28"/>
        </w:rPr>
        <w:t>ероприятия проводились в рамках подгото</w:t>
      </w:r>
      <w:r>
        <w:rPr>
          <w:rFonts w:ascii="Times New Roman" w:hAnsi="Times New Roman"/>
          <w:sz w:val="28"/>
          <w:szCs w:val="28"/>
        </w:rPr>
        <w:t>вки к отопительному периоду 2022-2023</w:t>
      </w:r>
      <w:r w:rsidR="00461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37F">
        <w:rPr>
          <w:rFonts w:ascii="Times New Roman" w:hAnsi="Times New Roman"/>
          <w:sz w:val="28"/>
          <w:szCs w:val="28"/>
        </w:rPr>
        <w:t>г.г</w:t>
      </w:r>
      <w:proofErr w:type="spellEnd"/>
      <w:r w:rsidR="00FE737F">
        <w:rPr>
          <w:rFonts w:ascii="Times New Roman" w:hAnsi="Times New Roman"/>
          <w:sz w:val="28"/>
          <w:szCs w:val="28"/>
        </w:rPr>
        <w:t>. управляющими организациями</w:t>
      </w:r>
      <w:r w:rsidR="00210163">
        <w:rPr>
          <w:rFonts w:ascii="Times New Roman" w:hAnsi="Times New Roman"/>
          <w:sz w:val="28"/>
          <w:szCs w:val="28"/>
        </w:rPr>
        <w:t xml:space="preserve">; </w:t>
      </w:r>
      <w:r w:rsidR="00D42E80">
        <w:rPr>
          <w:rFonts w:ascii="Times New Roman" w:hAnsi="Times New Roman"/>
          <w:sz w:val="28"/>
          <w:szCs w:val="28"/>
        </w:rPr>
        <w:t>ненадлежащего</w:t>
      </w:r>
      <w:r w:rsidR="00461146">
        <w:rPr>
          <w:rFonts w:ascii="Times New Roman" w:hAnsi="Times New Roman"/>
          <w:sz w:val="28"/>
          <w:szCs w:val="28"/>
        </w:rPr>
        <w:t xml:space="preserve"> содержания общедомового </w:t>
      </w:r>
      <w:r w:rsidR="00D42E80">
        <w:rPr>
          <w:rFonts w:ascii="Times New Roman" w:hAnsi="Times New Roman"/>
          <w:sz w:val="28"/>
          <w:szCs w:val="28"/>
        </w:rPr>
        <w:t>имущества многоквартирных домов;</w:t>
      </w:r>
      <w:r w:rsidR="00461146">
        <w:rPr>
          <w:rFonts w:ascii="Times New Roman" w:hAnsi="Times New Roman"/>
          <w:sz w:val="28"/>
          <w:szCs w:val="28"/>
        </w:rPr>
        <w:t xml:space="preserve"> ненадлежащего предоставления коммунальных услуг жильцам многоквартирных домов и т.д.</w:t>
      </w: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9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05" w:rsidRDefault="00433105">
      <w:pPr>
        <w:spacing w:after="0" w:line="240" w:lineRule="auto"/>
      </w:pPr>
      <w:r>
        <w:separator/>
      </w:r>
    </w:p>
  </w:endnote>
  <w:endnote w:type="continuationSeparator" w:id="0">
    <w:p w:rsidR="00433105" w:rsidRDefault="0043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05" w:rsidRDefault="00433105">
      <w:pPr>
        <w:spacing w:after="0" w:line="240" w:lineRule="auto"/>
      </w:pPr>
      <w:r>
        <w:separator/>
      </w:r>
    </w:p>
  </w:footnote>
  <w:footnote w:type="continuationSeparator" w:id="0">
    <w:p w:rsidR="00433105" w:rsidRDefault="0043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FF" w:rsidRPr="00802051" w:rsidRDefault="00844AFF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580D21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11355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D4196"/>
    <w:rsid w:val="001E1583"/>
    <w:rsid w:val="00210163"/>
    <w:rsid w:val="00213623"/>
    <w:rsid w:val="00260ED9"/>
    <w:rsid w:val="00281C40"/>
    <w:rsid w:val="002936BB"/>
    <w:rsid w:val="00296472"/>
    <w:rsid w:val="002B3DF9"/>
    <w:rsid w:val="002C0A17"/>
    <w:rsid w:val="002E14AE"/>
    <w:rsid w:val="0033219B"/>
    <w:rsid w:val="00376363"/>
    <w:rsid w:val="003B781F"/>
    <w:rsid w:val="003E2D48"/>
    <w:rsid w:val="004030EE"/>
    <w:rsid w:val="00433105"/>
    <w:rsid w:val="00436543"/>
    <w:rsid w:val="00461146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80D21"/>
    <w:rsid w:val="0059606A"/>
    <w:rsid w:val="005C4366"/>
    <w:rsid w:val="005D0C6C"/>
    <w:rsid w:val="006258BE"/>
    <w:rsid w:val="006308FE"/>
    <w:rsid w:val="00632B3A"/>
    <w:rsid w:val="00637456"/>
    <w:rsid w:val="006375E7"/>
    <w:rsid w:val="006960F7"/>
    <w:rsid w:val="006A23C5"/>
    <w:rsid w:val="006C3BE1"/>
    <w:rsid w:val="006E04B0"/>
    <w:rsid w:val="00741FDB"/>
    <w:rsid w:val="007C5751"/>
    <w:rsid w:val="00800392"/>
    <w:rsid w:val="00844AFF"/>
    <w:rsid w:val="008465F6"/>
    <w:rsid w:val="00875B5E"/>
    <w:rsid w:val="00894A74"/>
    <w:rsid w:val="008C76FC"/>
    <w:rsid w:val="008D0D50"/>
    <w:rsid w:val="008D2FE2"/>
    <w:rsid w:val="00901305"/>
    <w:rsid w:val="00912BB6"/>
    <w:rsid w:val="00932019"/>
    <w:rsid w:val="00961A03"/>
    <w:rsid w:val="00996F73"/>
    <w:rsid w:val="009B0CF8"/>
    <w:rsid w:val="009D62CA"/>
    <w:rsid w:val="009E788F"/>
    <w:rsid w:val="00A15E7E"/>
    <w:rsid w:val="00A164E9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D522F"/>
    <w:rsid w:val="00AF021F"/>
    <w:rsid w:val="00B1654C"/>
    <w:rsid w:val="00BC62D5"/>
    <w:rsid w:val="00BE1149"/>
    <w:rsid w:val="00BE7649"/>
    <w:rsid w:val="00C57170"/>
    <w:rsid w:val="00C87ECF"/>
    <w:rsid w:val="00CB38F4"/>
    <w:rsid w:val="00CC7FE7"/>
    <w:rsid w:val="00CF2A9C"/>
    <w:rsid w:val="00D05402"/>
    <w:rsid w:val="00D0560B"/>
    <w:rsid w:val="00D42E80"/>
    <w:rsid w:val="00D5119E"/>
    <w:rsid w:val="00D73C45"/>
    <w:rsid w:val="00DA53EE"/>
    <w:rsid w:val="00DD2599"/>
    <w:rsid w:val="00DD3AA4"/>
    <w:rsid w:val="00DE2DE2"/>
    <w:rsid w:val="00E1143B"/>
    <w:rsid w:val="00E326DD"/>
    <w:rsid w:val="00E3330A"/>
    <w:rsid w:val="00E45A29"/>
    <w:rsid w:val="00E47F6C"/>
    <w:rsid w:val="00E80E6D"/>
    <w:rsid w:val="00EA5133"/>
    <w:rsid w:val="00EC07BB"/>
    <w:rsid w:val="00EF59D1"/>
    <w:rsid w:val="00F07BA8"/>
    <w:rsid w:val="00F52290"/>
    <w:rsid w:val="00F7098F"/>
    <w:rsid w:val="00F7780E"/>
    <w:rsid w:val="00FE2A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9B68-F777-4041-902A-67398E0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alexandr</cp:lastModifiedBy>
  <cp:revision>2</cp:revision>
  <cp:lastPrinted>2022-07-01T12:11:00Z</cp:lastPrinted>
  <dcterms:created xsi:type="dcterms:W3CDTF">2024-03-12T10:52:00Z</dcterms:created>
  <dcterms:modified xsi:type="dcterms:W3CDTF">2024-03-12T10:52:00Z</dcterms:modified>
</cp:coreProperties>
</file>